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3C97E">
      <w:pPr>
        <w:spacing w:line="240" w:lineRule="atLeast"/>
        <w:ind w:firstLine="960"/>
        <w:jc w:val="center"/>
        <w:rPr>
          <w:rFonts w:ascii="方正小标宋简体" w:hAnsi="黑体" w:eastAsia="方正小标宋简体" w:cs="黑体"/>
          <w:bCs/>
          <w:sz w:val="48"/>
          <w:szCs w:val="48"/>
        </w:rPr>
      </w:pPr>
    </w:p>
    <w:p w14:paraId="1588AA34">
      <w:pPr>
        <w:spacing w:line="240" w:lineRule="atLeast"/>
        <w:ind w:firstLine="960"/>
        <w:jc w:val="center"/>
        <w:rPr>
          <w:rFonts w:ascii="方正小标宋简体" w:hAnsi="黑体" w:eastAsia="方正小标宋简体" w:cs="黑体"/>
          <w:bCs/>
          <w:sz w:val="48"/>
          <w:szCs w:val="48"/>
        </w:rPr>
      </w:pPr>
    </w:p>
    <w:p w14:paraId="7EC68EB3">
      <w:pPr>
        <w:spacing w:line="240" w:lineRule="atLeast"/>
        <w:ind w:firstLine="960"/>
        <w:jc w:val="center"/>
        <w:rPr>
          <w:rFonts w:ascii="方正小标宋简体" w:hAnsi="黑体" w:eastAsia="方正小标宋简体" w:cs="黑体"/>
          <w:bCs/>
          <w:sz w:val="48"/>
          <w:szCs w:val="48"/>
        </w:rPr>
      </w:pPr>
    </w:p>
    <w:p w14:paraId="0A66C7EB">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沙湾市民政局2023年困难残疾人生活补贴和重度残疾人护理补贴项目支出绩效评价</w:t>
      </w:r>
    </w:p>
    <w:p w14:paraId="23048998">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报告</w:t>
      </w:r>
    </w:p>
    <w:p w14:paraId="2526E2EF">
      <w:pPr>
        <w:spacing w:line="240" w:lineRule="atLeast"/>
        <w:ind w:firstLine="960"/>
        <w:jc w:val="center"/>
        <w:rPr>
          <w:rFonts w:ascii="方正小标宋简体" w:hAnsi="黑体" w:eastAsia="方正小标宋简体" w:cs="黑体"/>
          <w:bCs/>
          <w:sz w:val="48"/>
          <w:szCs w:val="48"/>
        </w:rPr>
      </w:pPr>
    </w:p>
    <w:p w14:paraId="72C75408">
      <w:pPr>
        <w:spacing w:line="240" w:lineRule="atLeast"/>
        <w:ind w:firstLine="960"/>
        <w:jc w:val="center"/>
        <w:rPr>
          <w:rFonts w:ascii="方正小标宋简体" w:hAnsi="黑体" w:eastAsia="方正小标宋简体" w:cs="黑体"/>
          <w:bCs/>
          <w:sz w:val="48"/>
          <w:szCs w:val="48"/>
        </w:rPr>
      </w:pPr>
    </w:p>
    <w:p w14:paraId="5F76A8B4">
      <w:pPr>
        <w:spacing w:line="240" w:lineRule="atLeast"/>
        <w:ind w:firstLine="960"/>
        <w:jc w:val="center"/>
        <w:rPr>
          <w:rFonts w:ascii="方正小标宋简体" w:hAnsi="黑体" w:eastAsia="方正小标宋简体" w:cs="黑体"/>
          <w:bCs/>
          <w:sz w:val="48"/>
          <w:szCs w:val="48"/>
        </w:rPr>
      </w:pPr>
    </w:p>
    <w:p w14:paraId="159BBF0D">
      <w:pPr>
        <w:spacing w:line="240" w:lineRule="atLeast"/>
        <w:ind w:firstLine="960"/>
        <w:jc w:val="center"/>
        <w:rPr>
          <w:rFonts w:ascii="方正小标宋简体" w:hAnsi="黑体" w:eastAsia="方正小标宋简体" w:cs="黑体"/>
          <w:bCs/>
          <w:sz w:val="48"/>
          <w:szCs w:val="48"/>
        </w:rPr>
      </w:pPr>
    </w:p>
    <w:p w14:paraId="772EE1FE">
      <w:pPr>
        <w:spacing w:line="240" w:lineRule="atLeast"/>
        <w:ind w:firstLine="0" w:firstLineChars="0"/>
        <w:rPr>
          <w:rFonts w:ascii="方正小标宋简体" w:hAnsi="黑体" w:eastAsia="方正小标宋简体" w:cs="黑体"/>
          <w:bCs/>
          <w:sz w:val="48"/>
          <w:szCs w:val="48"/>
        </w:rPr>
      </w:pPr>
    </w:p>
    <w:p w14:paraId="4465FBC9">
      <w:pPr>
        <w:ind w:left="2698" w:leftChars="428" w:hanging="1500" w:hangingChars="500"/>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rPr>
        <w:t>3年困难残疾人生活补贴和重度残疾人护理补贴项目</w:t>
      </w:r>
      <w:bookmarkEnd w:id="0"/>
    </w:p>
    <w:p w14:paraId="5063411E">
      <w:pPr>
        <w:ind w:firstLine="1200" w:firstLineChars="400"/>
        <w:rPr>
          <w:rFonts w:ascii="黑体" w:hAnsi="黑体" w:eastAsia="黑体" w:cs="仿宋_GB2312"/>
          <w:sz w:val="30"/>
          <w:szCs w:val="30"/>
        </w:rPr>
      </w:pPr>
      <w:r>
        <w:rPr>
          <w:rFonts w:ascii="黑体" w:hAnsi="黑体" w:eastAsia="黑体" w:cs="宋体"/>
          <w:sz w:val="30"/>
          <w:szCs w:val="30"/>
        </w:rPr>
        <w:t>项目单位：</w:t>
      </w:r>
      <w:r>
        <w:rPr>
          <w:rFonts w:hint="eastAsia" w:ascii="黑体" w:hAnsi="黑体" w:eastAsia="黑体" w:cs="仿宋_GB2312"/>
          <w:sz w:val="30"/>
          <w:szCs w:val="30"/>
        </w:rPr>
        <w:t>沙湾市民政局</w:t>
      </w:r>
    </w:p>
    <w:p w14:paraId="3C5F922B">
      <w:pPr>
        <w:ind w:firstLine="1200" w:firstLineChars="400"/>
        <w:rPr>
          <w:rFonts w:ascii="黑体" w:hAnsi="黑体" w:eastAsia="黑体" w:cs="仿宋_GB2312"/>
          <w:sz w:val="30"/>
          <w:szCs w:val="30"/>
        </w:rPr>
      </w:pPr>
      <w:r>
        <w:rPr>
          <w:rFonts w:hint="eastAsia" w:ascii="黑体" w:hAnsi="黑体" w:eastAsia="黑体" w:cs="仿宋_GB2312"/>
          <w:sz w:val="30"/>
          <w:szCs w:val="30"/>
        </w:rPr>
        <w:t>主管部门：沙湾市财政局</w:t>
      </w:r>
    </w:p>
    <w:p w14:paraId="6952FDC5">
      <w:pPr>
        <w:ind w:firstLine="1200" w:firstLineChars="400"/>
        <w:rPr>
          <w:rFonts w:ascii="黑体" w:hAnsi="黑体" w:eastAsia="黑体" w:cs="仿宋_GB2312"/>
          <w:sz w:val="30"/>
          <w:szCs w:val="30"/>
        </w:rPr>
      </w:pPr>
      <w:r>
        <w:rPr>
          <w:rFonts w:hint="eastAsia" w:ascii="黑体" w:hAnsi="黑体" w:eastAsia="黑体" w:cs="仿宋_GB2312"/>
          <w:sz w:val="30"/>
          <w:szCs w:val="30"/>
        </w:rPr>
        <w:t>项目负责人：刘倩</w:t>
      </w:r>
    </w:p>
    <w:p w14:paraId="00DC2FC5">
      <w:pPr>
        <w:ind w:firstLine="1200" w:firstLineChars="400"/>
        <w:rPr>
          <w:rFonts w:ascii="黑体" w:hAnsi="黑体" w:eastAsia="黑体" w:cs="仿宋_GB2312"/>
          <w:sz w:val="30"/>
          <w:szCs w:val="30"/>
        </w:rPr>
      </w:pPr>
      <w:r>
        <w:rPr>
          <w:rFonts w:hint="eastAsia" w:ascii="黑体" w:hAnsi="黑体" w:eastAsia="黑体" w:cs="仿宋_GB2312"/>
          <w:sz w:val="30"/>
          <w:szCs w:val="30"/>
        </w:rPr>
        <w:t>填报时间：2024年3月28日</w:t>
      </w:r>
    </w:p>
    <w:p w14:paraId="7DA31030">
      <w:pPr>
        <w:ind w:firstLine="1200" w:firstLineChars="400"/>
        <w:rPr>
          <w:rFonts w:ascii="黑体" w:hAnsi="黑体" w:eastAsia="黑体" w:cs="仿宋_GB2312"/>
          <w:sz w:val="30"/>
          <w:szCs w:val="30"/>
        </w:rPr>
      </w:pPr>
    </w:p>
    <w:p w14:paraId="37FD3D8E">
      <w:pPr>
        <w:ind w:firstLine="0" w:firstLineChars="0"/>
        <w:rPr>
          <w:rFonts w:ascii="楷体_GB2312" w:hAnsi="黑体" w:eastAsia="楷体_GB2312" w:cs="黑体"/>
          <w:bCs/>
          <w:color w:val="FF0000"/>
          <w:sz w:val="32"/>
          <w:szCs w:val="32"/>
        </w:rPr>
      </w:pPr>
    </w:p>
    <w:p w14:paraId="094073C9">
      <w:pPr>
        <w:spacing w:after="100" w:afterAutospacing="1" w:line="360" w:lineRule="auto"/>
        <w:ind w:firstLine="0" w:firstLineChars="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沙湾市民政局2023年困难残疾人生活补贴和重度残疾人护理补贴项目支出绩效评价报告</w:t>
      </w:r>
    </w:p>
    <w:p w14:paraId="25025EB0">
      <w:pPr>
        <w:pStyle w:val="3"/>
        <w:spacing w:line="600" w:lineRule="exact"/>
        <w:ind w:firstLine="640"/>
        <w:rPr>
          <w:szCs w:val="32"/>
        </w:rPr>
      </w:pPr>
      <w:r>
        <w:rPr>
          <w:rFonts w:hint="eastAsia"/>
          <w:szCs w:val="32"/>
        </w:rPr>
        <w:t>一、基本情况</w:t>
      </w:r>
    </w:p>
    <w:p w14:paraId="3E7AE7F9">
      <w:pPr>
        <w:pStyle w:val="4"/>
        <w:spacing w:line="600" w:lineRule="exact"/>
        <w:ind w:firstLine="643"/>
        <w:rPr>
          <w:rFonts w:ascii="楷体_GB2312" w:eastAsia="楷体_GB2312"/>
          <w:szCs w:val="32"/>
        </w:rPr>
      </w:pPr>
      <w:r>
        <w:rPr>
          <w:rFonts w:hint="eastAsia" w:ascii="楷体_GB2312" w:eastAsia="楷体_GB2312"/>
          <w:szCs w:val="32"/>
        </w:rPr>
        <w:t>（一）项目概况</w:t>
      </w:r>
    </w:p>
    <w:p w14:paraId="0EBB837C">
      <w:pPr>
        <w:ind w:firstLine="643"/>
        <w:rPr>
          <w:b/>
          <w:bCs/>
          <w:sz w:val="32"/>
          <w:szCs w:val="32"/>
        </w:rPr>
      </w:pPr>
      <w:r>
        <w:rPr>
          <w:rFonts w:hint="eastAsia"/>
          <w:b/>
          <w:bCs/>
          <w:sz w:val="32"/>
          <w:szCs w:val="32"/>
        </w:rPr>
        <w:t>1.项目背景</w:t>
      </w:r>
    </w:p>
    <w:p w14:paraId="183FBD5B">
      <w:pPr>
        <w:ind w:firstLine="640"/>
        <w:rPr>
          <w:color w:val="000000" w:themeColor="text1"/>
          <w:sz w:val="32"/>
          <w:szCs w:val="32"/>
        </w:rPr>
      </w:pPr>
      <w:r>
        <w:rPr>
          <w:rFonts w:hint="eastAsia"/>
          <w:color w:val="000000" w:themeColor="text1"/>
          <w:sz w:val="32"/>
          <w:szCs w:val="32"/>
        </w:rPr>
        <w:t>为贯彻落实国务院《关于全面建立困难残疾人生活补贴和重</w:t>
      </w:r>
      <w:r>
        <w:rPr>
          <w:rFonts w:hint="eastAsia"/>
          <w:color w:val="000000" w:themeColor="text1"/>
          <w:sz w:val="32"/>
          <w:szCs w:val="32"/>
          <w:lang w:eastAsia="zh-CN"/>
        </w:rPr>
        <w:t>度</w:t>
      </w:r>
      <w:r>
        <w:rPr>
          <w:rFonts w:hint="eastAsia"/>
          <w:color w:val="000000" w:themeColor="text1"/>
          <w:sz w:val="32"/>
          <w:szCs w:val="32"/>
        </w:rPr>
        <w:t>残疾人护理补贴的意见》（国发[2015]52号）和自治区人民政府《关于建立困难残疾人生活补贴和重度残疾人护理补贴制度的实施意见》（新政发[2016]41号）文件精神，进一步解决残疾人特殊生活困难和长期护理困难等实际问题，全面建立我县困难残疾人生活补贴和重度残疾人护理补贴制度，保障残疾人生存发展权益，提高残疾人生活质量，促进社会和谐稳定。</w:t>
      </w:r>
    </w:p>
    <w:p w14:paraId="2452D8F3">
      <w:pPr>
        <w:ind w:firstLine="643"/>
        <w:rPr>
          <w:b/>
          <w:bCs/>
          <w:sz w:val="32"/>
          <w:szCs w:val="32"/>
        </w:rPr>
      </w:pPr>
      <w:r>
        <w:rPr>
          <w:rFonts w:hint="eastAsia"/>
          <w:b/>
          <w:bCs/>
          <w:sz w:val="32"/>
          <w:szCs w:val="32"/>
        </w:rPr>
        <w:t>2.项目主要内容及实施情况</w:t>
      </w:r>
    </w:p>
    <w:p w14:paraId="0BC10DA0">
      <w:pPr>
        <w:ind w:firstLine="640"/>
        <w:rPr>
          <w:color w:val="000000" w:themeColor="text1"/>
          <w:sz w:val="32"/>
          <w:szCs w:val="32"/>
        </w:rPr>
      </w:pPr>
      <w:r>
        <w:rPr>
          <w:rFonts w:hint="eastAsia"/>
          <w:color w:val="000000" w:themeColor="text1"/>
          <w:sz w:val="32"/>
          <w:szCs w:val="32"/>
        </w:rPr>
        <w:t>本项目主要内容为：根据国务院《关于全面建立困难残疾人生活补贴和重</w:t>
      </w:r>
      <w:r>
        <w:rPr>
          <w:rFonts w:hint="eastAsia"/>
          <w:color w:val="000000" w:themeColor="text1"/>
          <w:sz w:val="32"/>
          <w:szCs w:val="32"/>
          <w:lang w:eastAsia="zh-CN"/>
        </w:rPr>
        <w:t>度</w:t>
      </w:r>
      <w:r>
        <w:rPr>
          <w:rFonts w:hint="eastAsia"/>
          <w:color w:val="000000" w:themeColor="text1"/>
          <w:sz w:val="32"/>
          <w:szCs w:val="32"/>
        </w:rPr>
        <w:t>残疾人护理补贴的意见》（国发[2015]52号）和自治区人民政府《关于建立困难残疾人生活补贴和重度残疾人护理补贴制度的实施意见》（新政发[2016]41号）文件精神，进一步解决残疾人特殊生活困难和长期护理困难等实际问题</w:t>
      </w:r>
      <w:r>
        <w:rPr>
          <w:color w:val="000000" w:themeColor="text1"/>
          <w:sz w:val="32"/>
          <w:szCs w:val="32"/>
        </w:rPr>
        <w:t>。</w:t>
      </w:r>
      <w:r>
        <w:rPr>
          <w:rFonts w:hint="eastAsia"/>
          <w:color w:val="000000" w:themeColor="text1"/>
          <w:sz w:val="32"/>
          <w:szCs w:val="32"/>
        </w:rPr>
        <w:t>本项目于2023年1月开始实施，截</w:t>
      </w:r>
      <w:r>
        <w:rPr>
          <w:rFonts w:hint="eastAsia"/>
          <w:color w:val="000000" w:themeColor="text1"/>
          <w:sz w:val="32"/>
          <w:szCs w:val="32"/>
          <w:lang w:eastAsia="zh-CN"/>
        </w:rPr>
        <w:t>至</w:t>
      </w:r>
      <w:r>
        <w:rPr>
          <w:rFonts w:hint="eastAsia"/>
          <w:color w:val="000000" w:themeColor="text1"/>
          <w:sz w:val="32"/>
          <w:szCs w:val="32"/>
        </w:rPr>
        <w:t>2023年12月，该项目已实施完成。本项目的实施解决残疾人特殊生活困难和长期护理困难等实际问题</w:t>
      </w:r>
      <w:r>
        <w:rPr>
          <w:color w:val="000000" w:themeColor="text1"/>
          <w:sz w:val="32"/>
          <w:szCs w:val="32"/>
        </w:rPr>
        <w:t>，</w:t>
      </w:r>
      <w:r>
        <w:rPr>
          <w:rFonts w:hint="eastAsia"/>
          <w:color w:val="000000" w:themeColor="text1"/>
          <w:sz w:val="32"/>
          <w:szCs w:val="32"/>
        </w:rPr>
        <w:t>保障残疾人生存发展权益，提高残疾人生活质量，促进社会和谐稳定</w:t>
      </w:r>
      <w:r>
        <w:rPr>
          <w:color w:val="000000" w:themeColor="text1"/>
          <w:sz w:val="32"/>
          <w:szCs w:val="32"/>
        </w:rPr>
        <w:t>。</w:t>
      </w:r>
    </w:p>
    <w:p w14:paraId="7F96915E">
      <w:pPr>
        <w:ind w:firstLine="643"/>
        <w:rPr>
          <w:b/>
          <w:bCs/>
          <w:sz w:val="32"/>
          <w:szCs w:val="32"/>
        </w:rPr>
      </w:pPr>
      <w:r>
        <w:rPr>
          <w:rFonts w:hint="eastAsia"/>
          <w:b/>
          <w:bCs/>
          <w:sz w:val="32"/>
          <w:szCs w:val="32"/>
        </w:rPr>
        <w:t>3.项目实施主体</w:t>
      </w:r>
    </w:p>
    <w:p w14:paraId="3372BE38">
      <w:pPr>
        <w:ind w:firstLine="640"/>
        <w:rPr>
          <w:color w:val="000000" w:themeColor="text1"/>
          <w:sz w:val="32"/>
          <w:szCs w:val="32"/>
        </w:rPr>
      </w:pPr>
      <w:r>
        <w:rPr>
          <w:rFonts w:hint="eastAsia"/>
          <w:color w:val="000000" w:themeColor="text1"/>
          <w:sz w:val="32"/>
          <w:szCs w:val="32"/>
        </w:rPr>
        <w:t>2023年沙湾市困难残疾人生活补贴和重度残疾人护理补贴项目的实施主体为塔城地区沙湾市民政局。</w:t>
      </w:r>
    </w:p>
    <w:p w14:paraId="68F9674C">
      <w:pPr>
        <w:ind w:firstLine="643"/>
        <w:rPr>
          <w:b/>
          <w:bCs/>
          <w:sz w:val="32"/>
          <w:szCs w:val="32"/>
        </w:rPr>
      </w:pPr>
      <w:r>
        <w:rPr>
          <w:rFonts w:hint="eastAsia"/>
          <w:b/>
          <w:bCs/>
          <w:sz w:val="32"/>
          <w:szCs w:val="32"/>
        </w:rPr>
        <w:t>4. 资金投入和使用情况</w:t>
      </w:r>
    </w:p>
    <w:p w14:paraId="3667084B">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14:paraId="4C47792C">
      <w:pPr>
        <w:spacing w:line="600" w:lineRule="exact"/>
        <w:ind w:firstLine="640"/>
        <w:rPr>
          <w:sz w:val="32"/>
          <w:szCs w:val="32"/>
        </w:rPr>
      </w:pPr>
      <w:r>
        <w:rPr>
          <w:rFonts w:hint="eastAsia"/>
          <w:sz w:val="32"/>
          <w:szCs w:val="32"/>
        </w:rPr>
        <w:t>根据沙湾市财政局《2023年沙湾市困难残疾人生活补贴和重度残疾人护理补贴》（沙财字〔2023〕95号）文件，沙湾市困难残疾人生活补贴和重度残疾人护理补贴资金项目预算安排资金473.14万元；2023年实际收到预算资金473.14万元，预算资金到位率为100%。</w:t>
      </w:r>
    </w:p>
    <w:p w14:paraId="47FB207E">
      <w:pPr>
        <w:spacing w:line="600" w:lineRule="exact"/>
        <w:ind w:firstLine="640"/>
        <w:rPr>
          <w:sz w:val="32"/>
          <w:szCs w:val="32"/>
        </w:rPr>
      </w:pPr>
      <w:r>
        <w:rPr>
          <w:rFonts w:hint="eastAsia"/>
          <w:sz w:val="32"/>
          <w:szCs w:val="32"/>
        </w:rPr>
        <w:t>（2）项目资金实际使用情况</w:t>
      </w:r>
    </w:p>
    <w:p w14:paraId="14F8F7D2">
      <w:pPr>
        <w:spacing w:line="600" w:lineRule="exact"/>
        <w:ind w:firstLine="640"/>
        <w:rPr>
          <w:sz w:val="32"/>
          <w:szCs w:val="32"/>
        </w:rPr>
      </w:pPr>
      <w:r>
        <w:rPr>
          <w:rFonts w:hint="eastAsia"/>
          <w:sz w:val="32"/>
          <w:szCs w:val="32"/>
        </w:rPr>
        <w:t>截至2023年12月31日，本项目实际支付资金473.14万元，预算执行率100%。项目资金主要用于支付困难残疾人生活补贴148.49</w:t>
      </w:r>
      <w:r>
        <w:rPr>
          <w:sz w:val="32"/>
          <w:szCs w:val="32"/>
        </w:rPr>
        <w:t>万元、</w:t>
      </w:r>
      <w:r>
        <w:rPr>
          <w:rFonts w:hint="eastAsia"/>
          <w:sz w:val="32"/>
          <w:szCs w:val="32"/>
        </w:rPr>
        <w:t>重度残疾人护理补贴324.65</w:t>
      </w:r>
      <w:r>
        <w:rPr>
          <w:sz w:val="32"/>
          <w:szCs w:val="32"/>
        </w:rPr>
        <w:t>万元</w:t>
      </w:r>
      <w:r>
        <w:rPr>
          <w:rFonts w:hint="eastAsia"/>
          <w:sz w:val="32"/>
          <w:szCs w:val="32"/>
        </w:rPr>
        <w:t>。</w:t>
      </w:r>
    </w:p>
    <w:p w14:paraId="179BA90B">
      <w:pPr>
        <w:pStyle w:val="4"/>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14:paraId="4340D32A">
      <w:pPr>
        <w:ind w:firstLine="643"/>
        <w:rPr>
          <w:b/>
          <w:bCs/>
          <w:sz w:val="32"/>
          <w:szCs w:val="32"/>
        </w:rPr>
      </w:pPr>
      <w:r>
        <w:rPr>
          <w:rFonts w:hint="eastAsia"/>
          <w:b/>
          <w:bCs/>
          <w:sz w:val="32"/>
          <w:szCs w:val="32"/>
        </w:rPr>
        <w:t>1.总体目标</w:t>
      </w:r>
    </w:p>
    <w:p w14:paraId="05115D0C">
      <w:pPr>
        <w:spacing w:line="600" w:lineRule="exact"/>
        <w:ind w:firstLine="640"/>
        <w:rPr>
          <w:sz w:val="32"/>
          <w:szCs w:val="32"/>
        </w:rPr>
      </w:pPr>
      <w:r>
        <w:rPr>
          <w:rFonts w:hint="eastAsia"/>
          <w:sz w:val="32"/>
          <w:szCs w:val="32"/>
        </w:rPr>
        <w:t>根据年度预算和项目批复，完成2023年残疾人两项补贴的发放工作，落实残联审核，民政审定，保障资金及时发放到位。</w:t>
      </w:r>
    </w:p>
    <w:p w14:paraId="1F881C3B">
      <w:pPr>
        <w:ind w:firstLine="643"/>
        <w:rPr>
          <w:b/>
          <w:bCs/>
          <w:sz w:val="32"/>
          <w:szCs w:val="32"/>
        </w:rPr>
      </w:pPr>
      <w:r>
        <w:rPr>
          <w:rFonts w:hint="eastAsia"/>
          <w:b/>
          <w:bCs/>
          <w:sz w:val="32"/>
          <w:szCs w:val="32"/>
        </w:rPr>
        <w:t>2.阶段性目标</w:t>
      </w:r>
    </w:p>
    <w:p w14:paraId="2E284551">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10号）、《塔城地区财政</w:t>
      </w:r>
      <w:r>
        <w:rPr>
          <w:rFonts w:hint="eastAsia" w:ascii="仿宋_GB2312"/>
          <w:sz w:val="32"/>
          <w:szCs w:val="32"/>
        </w:rPr>
        <w:t>支出绩效评价管理暂行办法》（塔地财预〔201</w:t>
      </w:r>
      <w:r>
        <w:rPr>
          <w:rFonts w:ascii="仿宋_GB2312"/>
          <w:sz w:val="32"/>
          <w:szCs w:val="32"/>
        </w:rPr>
        <w:t>8</w:t>
      </w:r>
      <w:r>
        <w:rPr>
          <w:rFonts w:hint="eastAsia" w:ascii="仿宋_GB2312"/>
          <w:sz w:val="32"/>
          <w:szCs w:val="32"/>
        </w:rPr>
        <w:t>〕</w:t>
      </w:r>
      <w:r>
        <w:rPr>
          <w:rFonts w:ascii="仿宋_GB2312"/>
          <w:sz w:val="32"/>
          <w:szCs w:val="32"/>
        </w:rPr>
        <w:t>114</w:t>
      </w:r>
      <w:r>
        <w:rPr>
          <w:rFonts w:hint="eastAsia" w:ascii="仿宋_GB2312"/>
          <w:sz w:val="32"/>
          <w:szCs w:val="32"/>
        </w:rPr>
        <w:t>号）等文件要求，</w:t>
      </w:r>
      <w:r>
        <w:rPr>
          <w:rFonts w:hint="eastAsia" w:ascii="仿宋_GB2312" w:hAnsi="Arial" w:cs="宋体"/>
          <w:bCs/>
          <w:color w:val="000000"/>
          <w:sz w:val="32"/>
          <w:szCs w:val="32"/>
        </w:rPr>
        <w:t>结合本项目实际，对绩效目标进行逐层分解、细化后的具体绩效指标如下：</w:t>
      </w:r>
    </w:p>
    <w:p w14:paraId="3FAA1261">
      <w:pPr>
        <w:numPr>
          <w:ilvl w:val="0"/>
          <w:numId w:val="3"/>
        </w:numPr>
        <w:spacing w:line="600" w:lineRule="exact"/>
        <w:ind w:firstLine="640"/>
        <w:rPr>
          <w:sz w:val="32"/>
          <w:szCs w:val="32"/>
        </w:rPr>
      </w:pPr>
      <w:r>
        <w:rPr>
          <w:rFonts w:hint="eastAsia"/>
          <w:sz w:val="32"/>
          <w:szCs w:val="32"/>
        </w:rPr>
        <w:t>项目产出指标</w:t>
      </w:r>
    </w:p>
    <w:p w14:paraId="1BD6C4F6">
      <w:pPr>
        <w:spacing w:line="600" w:lineRule="exact"/>
        <w:ind w:firstLine="640"/>
        <w:rPr>
          <w:sz w:val="32"/>
          <w:szCs w:val="32"/>
        </w:rPr>
      </w:pPr>
      <w:r>
        <w:rPr>
          <w:rFonts w:hint="eastAsia"/>
          <w:sz w:val="32"/>
          <w:szCs w:val="32"/>
        </w:rPr>
        <w:t>①数量指标</w:t>
      </w:r>
    </w:p>
    <w:p w14:paraId="3A06CE30">
      <w:pPr>
        <w:spacing w:line="600" w:lineRule="exact"/>
        <w:ind w:firstLine="640"/>
        <w:rPr>
          <w:sz w:val="32"/>
          <w:szCs w:val="32"/>
        </w:rPr>
      </w:pPr>
      <w:r>
        <w:rPr>
          <w:rFonts w:hint="eastAsia"/>
          <w:sz w:val="32"/>
          <w:szCs w:val="32"/>
        </w:rPr>
        <w:t>“困难残疾人生活补贴人数（人）”指标，预期指标值为“大于等于1300人”；</w:t>
      </w:r>
    </w:p>
    <w:p w14:paraId="77F4E569">
      <w:pPr>
        <w:spacing w:line="600" w:lineRule="exact"/>
        <w:ind w:firstLine="640"/>
        <w:rPr>
          <w:sz w:val="32"/>
          <w:szCs w:val="32"/>
        </w:rPr>
      </w:pPr>
      <w:r>
        <w:rPr>
          <w:rFonts w:hint="eastAsia"/>
          <w:sz w:val="32"/>
          <w:szCs w:val="32"/>
        </w:rPr>
        <w:t>“重度残疾人护理补贴人数（人）”指标，预期指标值为“大于等于2500人”；</w:t>
      </w:r>
    </w:p>
    <w:p w14:paraId="71E40E82">
      <w:pPr>
        <w:spacing w:line="600" w:lineRule="exact"/>
        <w:ind w:firstLine="640"/>
        <w:rPr>
          <w:sz w:val="32"/>
          <w:szCs w:val="32"/>
        </w:rPr>
      </w:pPr>
      <w:r>
        <w:rPr>
          <w:rFonts w:hint="eastAsia"/>
          <w:sz w:val="32"/>
          <w:szCs w:val="32"/>
        </w:rPr>
        <w:t>②质量指标</w:t>
      </w:r>
    </w:p>
    <w:p w14:paraId="21E7CAE2">
      <w:pPr>
        <w:spacing w:line="600" w:lineRule="exact"/>
        <w:ind w:firstLine="640"/>
        <w:rPr>
          <w:sz w:val="32"/>
          <w:szCs w:val="32"/>
        </w:rPr>
      </w:pPr>
      <w:r>
        <w:rPr>
          <w:rFonts w:hint="eastAsia"/>
          <w:sz w:val="32"/>
          <w:szCs w:val="32"/>
        </w:rPr>
        <w:t>“残疾人补贴发放准确率（％）”指标，预期指标值为“等于100％”；</w:t>
      </w:r>
    </w:p>
    <w:p w14:paraId="6ABC965A">
      <w:pPr>
        <w:spacing w:line="600" w:lineRule="exact"/>
        <w:ind w:firstLine="640"/>
        <w:rPr>
          <w:sz w:val="32"/>
          <w:szCs w:val="32"/>
        </w:rPr>
      </w:pPr>
      <w:r>
        <w:rPr>
          <w:rFonts w:hint="eastAsia"/>
          <w:sz w:val="32"/>
          <w:szCs w:val="32"/>
        </w:rPr>
        <w:t>③时效指标</w:t>
      </w:r>
    </w:p>
    <w:p w14:paraId="27445F7B">
      <w:pPr>
        <w:spacing w:line="600" w:lineRule="exact"/>
        <w:ind w:firstLine="640"/>
        <w:rPr>
          <w:sz w:val="32"/>
          <w:szCs w:val="32"/>
        </w:rPr>
      </w:pPr>
      <w:r>
        <w:rPr>
          <w:rFonts w:hint="eastAsia"/>
          <w:sz w:val="32"/>
          <w:szCs w:val="32"/>
        </w:rPr>
        <w:t>“项目完成时间（年月日）”指标，预期指标值为“2023年12月25日前”；</w:t>
      </w:r>
    </w:p>
    <w:p w14:paraId="45C27F2D">
      <w:pPr>
        <w:numPr>
          <w:ilvl w:val="0"/>
          <w:numId w:val="3"/>
        </w:numPr>
        <w:spacing w:line="600" w:lineRule="exact"/>
        <w:ind w:firstLine="640"/>
        <w:rPr>
          <w:sz w:val="32"/>
          <w:szCs w:val="32"/>
        </w:rPr>
      </w:pPr>
      <w:r>
        <w:rPr>
          <w:rFonts w:hint="eastAsia"/>
          <w:sz w:val="32"/>
          <w:szCs w:val="32"/>
        </w:rPr>
        <w:t>项目成本指标</w:t>
      </w:r>
    </w:p>
    <w:p w14:paraId="7F2190BE">
      <w:pPr>
        <w:spacing w:line="600" w:lineRule="exact"/>
        <w:ind w:firstLine="640"/>
      </w:pPr>
      <w:r>
        <w:rPr>
          <w:rFonts w:hint="eastAsia"/>
          <w:sz w:val="32"/>
          <w:szCs w:val="32"/>
        </w:rPr>
        <w:t>①经济成本指标</w:t>
      </w:r>
    </w:p>
    <w:p w14:paraId="7F196850">
      <w:pPr>
        <w:spacing w:line="600" w:lineRule="exact"/>
        <w:ind w:firstLine="640"/>
        <w:rPr>
          <w:sz w:val="32"/>
          <w:szCs w:val="32"/>
        </w:rPr>
      </w:pPr>
      <w:r>
        <w:rPr>
          <w:rFonts w:hint="eastAsia"/>
          <w:sz w:val="32"/>
          <w:szCs w:val="32"/>
        </w:rPr>
        <w:t>“</w:t>
      </w:r>
      <w:r>
        <w:rPr>
          <w:rFonts w:hint="eastAsia" w:ascii="仿宋_GB2312" w:hAnsi="仿宋_GB2312" w:cs="仿宋_GB2312"/>
          <w:color w:val="000000" w:themeColor="text1"/>
          <w:sz w:val="32"/>
          <w:szCs w:val="32"/>
        </w:rPr>
        <w:t>困难残疾人生活补贴标准</w:t>
      </w:r>
      <w:r>
        <w:rPr>
          <w:rFonts w:hint="eastAsia"/>
          <w:sz w:val="32"/>
          <w:szCs w:val="32"/>
        </w:rPr>
        <w:t>（元/人/月）”指标，预期指标值为“小于等于120元/人/月”；</w:t>
      </w:r>
    </w:p>
    <w:p w14:paraId="009C7BBA">
      <w:pPr>
        <w:spacing w:line="600" w:lineRule="exact"/>
        <w:ind w:firstLine="640"/>
        <w:rPr>
          <w:sz w:val="32"/>
          <w:szCs w:val="32"/>
        </w:rPr>
      </w:pPr>
      <w:r>
        <w:rPr>
          <w:rFonts w:hint="eastAsia"/>
          <w:sz w:val="32"/>
          <w:szCs w:val="32"/>
        </w:rPr>
        <w:t>“</w:t>
      </w:r>
      <w:r>
        <w:rPr>
          <w:rFonts w:hint="eastAsia" w:ascii="仿宋_GB2312" w:hAnsi="仿宋_GB2312" w:cs="仿宋_GB2312"/>
          <w:color w:val="000000" w:themeColor="text1"/>
          <w:sz w:val="32"/>
          <w:szCs w:val="32"/>
        </w:rPr>
        <w:t>重度残疾人护理</w:t>
      </w:r>
      <w:r>
        <w:rPr>
          <w:rFonts w:hint="eastAsia"/>
          <w:sz w:val="32"/>
          <w:szCs w:val="32"/>
        </w:rPr>
        <w:t>标准（元/人/月）”指标，预期指标值为“小于等于120元/人/月”；</w:t>
      </w:r>
    </w:p>
    <w:p w14:paraId="77262224">
      <w:pPr>
        <w:spacing w:line="600" w:lineRule="exact"/>
        <w:ind w:firstLine="640"/>
        <w:rPr>
          <w:sz w:val="32"/>
          <w:szCs w:val="32"/>
        </w:rPr>
      </w:pPr>
      <w:r>
        <w:rPr>
          <w:rFonts w:hint="eastAsia"/>
          <w:sz w:val="32"/>
          <w:szCs w:val="32"/>
        </w:rPr>
        <w:t>（3）项目效益指标</w:t>
      </w:r>
    </w:p>
    <w:p w14:paraId="5D2D74B8">
      <w:pPr>
        <w:spacing w:line="600" w:lineRule="exact"/>
        <w:ind w:firstLine="640"/>
        <w:rPr>
          <w:sz w:val="32"/>
          <w:szCs w:val="32"/>
        </w:rPr>
      </w:pPr>
      <w:r>
        <w:rPr>
          <w:rFonts w:hint="eastAsia"/>
          <w:sz w:val="32"/>
          <w:szCs w:val="32"/>
        </w:rPr>
        <w:t>①经济效益指标</w:t>
      </w:r>
    </w:p>
    <w:p w14:paraId="00A951C0">
      <w:pPr>
        <w:spacing w:line="600" w:lineRule="exact"/>
        <w:ind w:firstLine="640"/>
        <w:rPr>
          <w:rFonts w:ascii="仿宋_GB2312"/>
          <w:sz w:val="32"/>
          <w:szCs w:val="32"/>
        </w:rPr>
      </w:pPr>
      <w:r>
        <w:rPr>
          <w:rFonts w:hint="eastAsia" w:ascii="仿宋_GB2312"/>
          <w:sz w:val="32"/>
          <w:szCs w:val="32"/>
        </w:rPr>
        <w:t>本项目无该项指标。</w:t>
      </w:r>
    </w:p>
    <w:p w14:paraId="07FBDA85">
      <w:pPr>
        <w:spacing w:line="600" w:lineRule="exact"/>
        <w:ind w:firstLine="640"/>
        <w:rPr>
          <w:rFonts w:ascii="仿宋_GB2312"/>
          <w:sz w:val="32"/>
          <w:szCs w:val="32"/>
        </w:rPr>
      </w:pPr>
      <w:r>
        <w:rPr>
          <w:rFonts w:hint="eastAsia" w:ascii="仿宋_GB2312"/>
          <w:sz w:val="32"/>
          <w:szCs w:val="32"/>
        </w:rPr>
        <w:t>②社会效益指标</w:t>
      </w:r>
    </w:p>
    <w:p w14:paraId="7DB799D0">
      <w:pPr>
        <w:spacing w:line="600" w:lineRule="exact"/>
        <w:ind w:firstLine="640"/>
        <w:rPr>
          <w:rFonts w:ascii="仿宋_GB2312"/>
          <w:sz w:val="32"/>
          <w:szCs w:val="32"/>
        </w:rPr>
      </w:pPr>
      <w:r>
        <w:rPr>
          <w:rFonts w:hint="eastAsia" w:ascii="仿宋_GB2312"/>
          <w:sz w:val="32"/>
          <w:szCs w:val="32"/>
        </w:rPr>
        <w:t>“提高残疾人生活水平”指标，预期指标值为“有所提升”；</w:t>
      </w:r>
    </w:p>
    <w:p w14:paraId="5A67D8F8">
      <w:pPr>
        <w:spacing w:line="600" w:lineRule="exact"/>
        <w:ind w:firstLine="640"/>
        <w:rPr>
          <w:rFonts w:ascii="仿宋_GB2312"/>
          <w:sz w:val="32"/>
          <w:szCs w:val="32"/>
        </w:rPr>
      </w:pPr>
      <w:r>
        <w:rPr>
          <w:rFonts w:hint="eastAsia" w:ascii="仿宋_GB2312"/>
          <w:sz w:val="32"/>
          <w:szCs w:val="32"/>
        </w:rPr>
        <w:t>③生态效益指标</w:t>
      </w:r>
    </w:p>
    <w:p w14:paraId="66A55AEB">
      <w:pPr>
        <w:spacing w:line="600" w:lineRule="exact"/>
        <w:ind w:firstLine="640"/>
        <w:rPr>
          <w:rFonts w:ascii="仿宋_GB2312"/>
          <w:sz w:val="32"/>
          <w:szCs w:val="32"/>
        </w:rPr>
      </w:pPr>
      <w:r>
        <w:rPr>
          <w:rFonts w:hint="eastAsia" w:ascii="仿宋_GB2312"/>
          <w:sz w:val="32"/>
          <w:szCs w:val="32"/>
        </w:rPr>
        <w:t>本项目无该项指标。</w:t>
      </w:r>
    </w:p>
    <w:p w14:paraId="01558F1D">
      <w:pPr>
        <w:spacing w:line="600" w:lineRule="exact"/>
        <w:ind w:firstLine="640"/>
        <w:rPr>
          <w:sz w:val="32"/>
          <w:szCs w:val="32"/>
        </w:rPr>
      </w:pPr>
      <w:r>
        <w:rPr>
          <w:rFonts w:hint="eastAsia"/>
          <w:sz w:val="32"/>
          <w:szCs w:val="32"/>
        </w:rPr>
        <w:t>（4）相关满意度目标</w:t>
      </w:r>
    </w:p>
    <w:p w14:paraId="07DF97DD">
      <w:pPr>
        <w:spacing w:line="600" w:lineRule="exact"/>
        <w:ind w:firstLine="640"/>
        <w:rPr>
          <w:rFonts w:ascii="仿宋_GB2312"/>
          <w:sz w:val="32"/>
          <w:szCs w:val="32"/>
        </w:rPr>
      </w:pPr>
      <w:r>
        <w:rPr>
          <w:rFonts w:hint="eastAsia" w:ascii="仿宋_GB2312"/>
          <w:sz w:val="32"/>
          <w:szCs w:val="32"/>
        </w:rPr>
        <w:t>“受益残疾人满意度（%)”指标，预期指标值为“大于等于95％”；</w:t>
      </w:r>
    </w:p>
    <w:p w14:paraId="1806175F">
      <w:pPr>
        <w:pStyle w:val="3"/>
        <w:spacing w:line="600" w:lineRule="exact"/>
        <w:ind w:firstLine="640"/>
        <w:rPr>
          <w:szCs w:val="32"/>
        </w:rPr>
      </w:pPr>
      <w:r>
        <w:rPr>
          <w:rFonts w:hint="eastAsia"/>
          <w:szCs w:val="32"/>
        </w:rPr>
        <w:t>二、绩效评价工作开展情况</w:t>
      </w:r>
    </w:p>
    <w:p w14:paraId="6805F9BD">
      <w:pPr>
        <w:pStyle w:val="4"/>
        <w:numPr>
          <w:ilvl w:val="0"/>
          <w:numId w:val="4"/>
        </w:numPr>
        <w:spacing w:line="600" w:lineRule="exact"/>
        <w:ind w:firstLine="643"/>
        <w:rPr>
          <w:rFonts w:ascii="楷体_GB2312" w:eastAsia="楷体_GB2312"/>
          <w:szCs w:val="32"/>
        </w:rPr>
      </w:pPr>
      <w:bookmarkStart w:id="1" w:name="_Toc5462343"/>
      <w:bookmarkStart w:id="2" w:name="_Toc12868"/>
      <w:bookmarkStart w:id="3" w:name="_Toc26632"/>
      <w:bookmarkStart w:id="4" w:name="_Toc5258"/>
      <w:bookmarkStart w:id="5" w:name="_Toc480473081"/>
      <w:bookmarkStart w:id="6" w:name="_Toc22169_WPSOffice_Level2"/>
      <w:bookmarkStart w:id="7" w:name="_Toc21664"/>
      <w:bookmarkStart w:id="8" w:name="_Toc22922"/>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14:paraId="17CB0A7C">
      <w:pPr>
        <w:ind w:firstLine="643"/>
        <w:rPr>
          <w:b/>
          <w:bCs/>
          <w:sz w:val="32"/>
          <w:szCs w:val="32"/>
        </w:rPr>
      </w:pPr>
      <w:r>
        <w:rPr>
          <w:rFonts w:hint="eastAsia"/>
          <w:b/>
          <w:bCs/>
          <w:sz w:val="32"/>
          <w:szCs w:val="32"/>
        </w:rPr>
        <w:t>1.绩效评价的目的</w:t>
      </w:r>
    </w:p>
    <w:p w14:paraId="6A752660">
      <w:pPr>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Fonts w:hint="eastAsia" w:ascii="仿宋_GB2312" w:hAnsi="仿宋_GB2312" w:cs="仿宋_GB2312"/>
          <w:sz w:val="32"/>
          <w:szCs w:val="32"/>
        </w:rPr>
        <w:t>监督检查</w:t>
      </w:r>
      <w:r>
        <w:rPr>
          <w:rFonts w:ascii="仿宋_GB2312" w:hAnsi="仿宋_GB2312" w:cs="仿宋_GB2312"/>
          <w:sz w:val="32"/>
          <w:szCs w:val="32"/>
        </w:rPr>
        <w:t>困难群众救助补助资金项目资金管理使用情况，</w:t>
      </w:r>
      <w:r>
        <w:rPr>
          <w:sz w:val="32"/>
          <w:szCs w:val="32"/>
        </w:rPr>
        <w:t>进一步规范管理资金，提高资金使用效率，有效</w:t>
      </w:r>
      <w:r>
        <w:rPr>
          <w:rFonts w:hint="eastAsia"/>
          <w:sz w:val="32"/>
          <w:szCs w:val="32"/>
        </w:rPr>
        <w:t>解决残疾人特殊生活困难和长期护理困难等实际问题，全面建立我县困难残疾人生活补贴和重度残疾人护理补贴制度，保障残疾人生存发展权益，提高残疾人生活质量，促进社会和谐稳定。</w:t>
      </w:r>
    </w:p>
    <w:p w14:paraId="56903DD4">
      <w:pPr>
        <w:spacing w:line="600" w:lineRule="exact"/>
        <w:ind w:firstLine="643"/>
        <w:rPr>
          <w:b/>
          <w:bCs/>
          <w:sz w:val="32"/>
          <w:szCs w:val="32"/>
        </w:rPr>
      </w:pPr>
      <w:r>
        <w:rPr>
          <w:rFonts w:hint="eastAsia"/>
          <w:b/>
          <w:bCs/>
          <w:sz w:val="32"/>
          <w:szCs w:val="32"/>
        </w:rPr>
        <w:t>2.绩效评价的对象和范围</w:t>
      </w:r>
    </w:p>
    <w:p w14:paraId="0A8B294A">
      <w:pPr>
        <w:spacing w:line="600" w:lineRule="exact"/>
        <w:ind w:firstLine="640"/>
        <w:rPr>
          <w:rFonts w:ascii="仿宋_GB2312"/>
          <w:color w:val="000000" w:themeColor="text1"/>
          <w:sz w:val="32"/>
          <w:szCs w:val="32"/>
        </w:rPr>
      </w:pPr>
      <w:r>
        <w:rPr>
          <w:rFonts w:hint="eastAsia" w:ascii="仿宋_GB2312" w:hAnsi="仿宋_GB2312" w:cs="仿宋_GB2312"/>
          <w:color w:val="000000" w:themeColor="text1"/>
          <w:sz w:val="32"/>
          <w:szCs w:val="32"/>
        </w:rPr>
        <w:t>本次绩效评价遵循财政部</w:t>
      </w:r>
      <w:r>
        <w:rPr>
          <w:rFonts w:hint="eastAsia" w:ascii="仿宋_GB2312" w:hAnsi="Arial" w:cs="宋体"/>
          <w:bCs/>
          <w:color w:val="000000" w:themeColor="text1"/>
          <w:sz w:val="32"/>
          <w:szCs w:val="32"/>
        </w:rPr>
        <w:t>《关于印发&lt;项目支出绩效评价管理办法&gt;的通知》（财预</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2020</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10号）</w:t>
      </w:r>
      <w:r>
        <w:rPr>
          <w:rFonts w:hint="eastAsia" w:ascii="仿宋_GB2312" w:hAnsi="仿宋_GB2312" w:cs="仿宋_GB2312"/>
          <w:color w:val="000000" w:themeColor="text1"/>
          <w:sz w:val="32"/>
          <w:szCs w:val="32"/>
        </w:rPr>
        <w:t>以及自治区财政厅《自治区财政支出绩效评价管理暂行办法》（新财预〔2018〕189号）等文件规定，</w:t>
      </w:r>
      <w:r>
        <w:rPr>
          <w:rFonts w:hint="eastAsia" w:ascii="仿宋_GB2312"/>
          <w:color w:val="000000" w:themeColor="text1"/>
          <w:sz w:val="32"/>
          <w:szCs w:val="32"/>
        </w:rPr>
        <w:t>对2023年度我单位实施的困难残疾人生活补贴和重度残疾人护理补贴（直达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66791C96">
      <w:pPr>
        <w:pStyle w:val="4"/>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14:paraId="13949429">
      <w:pPr>
        <w:ind w:firstLine="643"/>
        <w:rPr>
          <w:b/>
          <w:bCs/>
          <w:sz w:val="32"/>
          <w:szCs w:val="32"/>
        </w:rPr>
      </w:pPr>
      <w:r>
        <w:rPr>
          <w:rFonts w:hint="eastAsia"/>
          <w:b/>
          <w:bCs/>
          <w:sz w:val="32"/>
          <w:szCs w:val="32"/>
        </w:rPr>
        <w:t>1.绩效评价原则</w:t>
      </w:r>
    </w:p>
    <w:p w14:paraId="2D0826DF">
      <w:pPr>
        <w:spacing w:line="600" w:lineRule="exact"/>
        <w:ind w:firstLine="640"/>
        <w:rPr>
          <w:rFonts w:hAnsi="Arial" w:cs="宋体"/>
          <w:bCs/>
          <w:color w:val="000000"/>
          <w:sz w:val="32"/>
          <w:szCs w:val="32"/>
        </w:rPr>
      </w:pPr>
      <w:r>
        <w:rPr>
          <w:rFonts w:hint="eastAsia" w:hAnsi="Arial" w:cs="宋体"/>
          <w:bCs/>
          <w:color w:val="000000"/>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困难残疾人生活补贴和重度残疾人护理补贴项目实际开展情况，运用定量和定性分析相结合的方法，总结经验做法，反思项目实施和管理中的问题，以切实提升财政资金管理的科学化、规范化和精细化水平。</w:t>
      </w:r>
    </w:p>
    <w:p w14:paraId="67EE506F">
      <w:pPr>
        <w:spacing w:line="600" w:lineRule="exact"/>
        <w:ind w:firstLine="640"/>
        <w:rPr>
          <w:rFonts w:hAnsi="Arial" w:cs="宋体"/>
          <w:bCs/>
          <w:color w:val="000000"/>
          <w:sz w:val="32"/>
          <w:szCs w:val="32"/>
        </w:rPr>
      </w:pPr>
      <w:r>
        <w:rPr>
          <w:rFonts w:hint="eastAsia" w:hAnsi="Arial" w:cs="宋体"/>
          <w:bCs/>
          <w:color w:val="000000"/>
          <w:sz w:val="32"/>
          <w:szCs w:val="32"/>
        </w:rPr>
        <w:t>根据以上原则，绩效评价遵循如下具体要求：</w:t>
      </w:r>
    </w:p>
    <w:p w14:paraId="376F7511">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6ABA583F">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14:paraId="21BAF7A6">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44B45A58">
      <w:pPr>
        <w:ind w:firstLine="643"/>
        <w:rPr>
          <w:b/>
          <w:bCs/>
          <w:sz w:val="32"/>
          <w:szCs w:val="32"/>
        </w:rPr>
      </w:pPr>
      <w:bookmarkStart w:id="9" w:name="_Toc26131"/>
      <w:bookmarkStart w:id="10" w:name="_Toc419984722"/>
      <w:bookmarkStart w:id="11" w:name="_Toc428278230"/>
      <w:bookmarkStart w:id="12" w:name="_Toc1913"/>
      <w:r>
        <w:rPr>
          <w:rFonts w:hint="eastAsia"/>
          <w:b/>
          <w:bCs/>
          <w:sz w:val="32"/>
          <w:szCs w:val="32"/>
        </w:rPr>
        <w:t>2.绩效评价指标体系及绩效评价</w:t>
      </w:r>
      <w:bookmarkEnd w:id="9"/>
      <w:bookmarkEnd w:id="10"/>
      <w:bookmarkEnd w:id="11"/>
      <w:bookmarkEnd w:id="12"/>
      <w:r>
        <w:rPr>
          <w:rFonts w:hint="eastAsia"/>
          <w:b/>
          <w:bCs/>
          <w:sz w:val="32"/>
          <w:szCs w:val="32"/>
        </w:rPr>
        <w:t>标准</w:t>
      </w:r>
    </w:p>
    <w:p w14:paraId="1A5480F9">
      <w:pPr>
        <w:spacing w:line="600" w:lineRule="exact"/>
        <w:ind w:firstLine="640"/>
        <w:rPr>
          <w:rFonts w:ascii="仿宋_GB2312"/>
          <w:color w:val="000000" w:themeColor="text1"/>
          <w:sz w:val="32"/>
          <w:szCs w:val="32"/>
        </w:rPr>
      </w:pPr>
      <w:r>
        <w:rPr>
          <w:rFonts w:hint="eastAsia" w:ascii="仿宋_GB2312"/>
          <w:color w:val="000000" w:themeColor="text1"/>
          <w:sz w:val="32"/>
          <w:szCs w:val="32"/>
        </w:rPr>
        <w:t>绩效评价指标体系根据财政部</w:t>
      </w:r>
      <w:r>
        <w:rPr>
          <w:rFonts w:hint="eastAsia" w:ascii="仿宋_GB2312" w:hAnsi="Arial" w:cs="宋体"/>
          <w:bCs/>
          <w:color w:val="000000" w:themeColor="text1"/>
          <w:sz w:val="32"/>
          <w:szCs w:val="32"/>
        </w:rPr>
        <w:t>《关于印发&lt;项目支出绩效评价管理办法&gt;的通知》（财预</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2020</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10号）、</w:t>
      </w:r>
      <w:r>
        <w:rPr>
          <w:rFonts w:hint="eastAsia" w:ascii="仿宋_GB2312" w:hAnsi="仿宋_GB2312" w:cs="仿宋_GB2312"/>
          <w:color w:val="000000" w:themeColor="text1"/>
          <w:sz w:val="32"/>
          <w:szCs w:val="32"/>
        </w:rPr>
        <w:t>自治区财政厅《自治区财政支出绩效评价管理暂行办法》（新财预〔2018〕189号）</w:t>
      </w:r>
      <w:r>
        <w:rPr>
          <w:rFonts w:hint="eastAsia" w:ascii="仿宋_GB2312"/>
          <w:color w:val="000000" w:themeColor="text1"/>
          <w:sz w:val="32"/>
          <w:szCs w:val="32"/>
        </w:rPr>
        <w:t>等文件要求，结合本项目特点，在与专家组充分协商的基础上，评价工作组细化了该项目的绩效评价指标体系（详见附表1）：</w:t>
      </w:r>
    </w:p>
    <w:p w14:paraId="2C7A1FE6">
      <w:pPr>
        <w:spacing w:line="600" w:lineRule="exact"/>
        <w:ind w:firstLine="640"/>
        <w:rPr>
          <w:rFonts w:ascii="仿宋_GB2312"/>
          <w:color w:val="000000" w:themeColor="text1"/>
          <w:sz w:val="32"/>
          <w:szCs w:val="32"/>
        </w:rPr>
      </w:pPr>
      <w:r>
        <w:rPr>
          <w:rFonts w:hint="eastAsia" w:ascii="仿宋_GB2312"/>
          <w:color w:val="000000" w:themeColor="text1"/>
          <w:sz w:val="32"/>
          <w:szCs w:val="32"/>
        </w:rPr>
        <w:t>一级指标为：决策、过程、产出、成本、效益。</w:t>
      </w:r>
    </w:p>
    <w:p w14:paraId="19535E50">
      <w:pPr>
        <w:spacing w:line="600" w:lineRule="exact"/>
        <w:ind w:firstLine="640"/>
        <w:rPr>
          <w:rFonts w:ascii="仿宋_GB2312"/>
          <w:color w:val="000000" w:themeColor="text1"/>
          <w:sz w:val="32"/>
          <w:szCs w:val="32"/>
        </w:rPr>
      </w:pPr>
      <w:r>
        <w:rPr>
          <w:rFonts w:hint="eastAsia" w:ascii="仿宋_GB2312"/>
          <w:color w:val="000000" w:themeColor="text1"/>
          <w:sz w:val="32"/>
          <w:szCs w:val="32"/>
        </w:rPr>
        <w:t>二级指标为：项目立项、绩效目标、资金投入、资金管理、组织实施、产出数量、产出质量、产出时效、经济成本、项目效益。</w:t>
      </w:r>
    </w:p>
    <w:p w14:paraId="34DAF2AA">
      <w:pPr>
        <w:spacing w:line="600" w:lineRule="exact"/>
        <w:ind w:firstLine="640"/>
        <w:rPr>
          <w:rFonts w:ascii="仿宋_GB2312"/>
          <w:color w:val="000000" w:themeColor="text1"/>
          <w:sz w:val="32"/>
          <w:szCs w:val="32"/>
        </w:rPr>
      </w:pPr>
      <w:r>
        <w:rPr>
          <w:rFonts w:hint="eastAsia" w:ascii="仿宋_GB2312"/>
          <w:color w:val="000000" w:themeColor="text1"/>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768DACA8">
      <w:pPr>
        <w:ind w:firstLine="643"/>
        <w:rPr>
          <w:b/>
          <w:bCs/>
          <w:sz w:val="32"/>
          <w:szCs w:val="32"/>
        </w:rPr>
      </w:pPr>
      <w:r>
        <w:rPr>
          <w:rFonts w:hint="eastAsia"/>
          <w:b/>
          <w:bCs/>
          <w:sz w:val="32"/>
          <w:szCs w:val="32"/>
        </w:rPr>
        <w:t>3.评价方法</w:t>
      </w:r>
    </w:p>
    <w:p w14:paraId="4602F2EC">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063EDA2C">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17EDA1AA">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770E3C79">
      <w:pPr>
        <w:ind w:firstLine="643"/>
        <w:rPr>
          <w:b/>
          <w:bCs/>
          <w:sz w:val="32"/>
          <w:szCs w:val="32"/>
        </w:rPr>
      </w:pPr>
      <w:r>
        <w:rPr>
          <w:rFonts w:hint="eastAsia"/>
          <w:b/>
          <w:bCs/>
          <w:sz w:val="32"/>
          <w:szCs w:val="32"/>
        </w:rPr>
        <w:t>4.评价标准</w:t>
      </w:r>
    </w:p>
    <w:p w14:paraId="139DC5A0">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5587E159">
      <w:pPr>
        <w:pStyle w:val="4"/>
        <w:spacing w:line="600" w:lineRule="exact"/>
        <w:ind w:left="420" w:firstLine="0" w:firstLineChars="0"/>
        <w:rPr>
          <w:szCs w:val="32"/>
        </w:rPr>
      </w:pPr>
      <w:r>
        <w:rPr>
          <w:rFonts w:hint="eastAsia"/>
          <w:szCs w:val="32"/>
        </w:rPr>
        <w:t>（三）绩效评价工作过程</w:t>
      </w:r>
    </w:p>
    <w:p w14:paraId="7BE99DE3">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14:paraId="35D64399">
      <w:pPr>
        <w:pStyle w:val="21"/>
        <w:spacing w:line="600" w:lineRule="exact"/>
        <w:ind w:firstLine="640"/>
        <w:rPr>
          <w:rFonts w:ascii="仿宋_GB2312" w:hAnsi="仿宋_GB2312" w:cs="仿宋_GB2312"/>
          <w:color w:val="FF0000"/>
          <w:sz w:val="32"/>
          <w:szCs w:val="32"/>
        </w:rPr>
      </w:pPr>
      <w:r>
        <w:rPr>
          <w:rFonts w:hint="eastAsia" w:ascii="仿宋_GB2312" w:hAnsi="仿宋" w:cs="仿宋"/>
          <w:color w:val="000000"/>
          <w:sz w:val="32"/>
          <w:szCs w:val="32"/>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37032BD9">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高西京任评价组组长，绩效评价工作职责为检查项目绩效指标完成情况、审定项目支出绩效评价结果及项目支出绩效评价报告。</w:t>
      </w:r>
    </w:p>
    <w:p w14:paraId="7DA04D7C">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杨国刚任评价组副组长，绩效评价工作职责为组织和协调项目工作人员采取实地调查、资料检查等方式，核实项目绩效指标完成情况；组织受益对象对项目工作进行评价等。</w:t>
      </w:r>
    </w:p>
    <w:p w14:paraId="296F5264">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刘倩任评价组成员，绩效评价工作职责为做好项目支出绩效评价工作的沟通协调工作，对项目实施情况进行实地调查，编写项目支出绩效评价报告。</w:t>
      </w:r>
    </w:p>
    <w:p w14:paraId="0AC58D81">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14:paraId="0FC79281">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7973A776">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14:paraId="59331776">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0D0C5055">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14:paraId="25599CC9">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574FEB16">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14:paraId="2C2AA2BA">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7084307A">
      <w:pPr>
        <w:pStyle w:val="3"/>
        <w:numPr>
          <w:ilvl w:val="0"/>
          <w:numId w:val="5"/>
        </w:numPr>
        <w:spacing w:line="600" w:lineRule="exact"/>
        <w:ind w:firstLine="640"/>
        <w:rPr>
          <w:szCs w:val="32"/>
        </w:rPr>
      </w:pPr>
      <w:r>
        <w:rPr>
          <w:rFonts w:hint="eastAsia"/>
          <w:szCs w:val="32"/>
        </w:rPr>
        <w:t>综合评价情况及评价结论</w:t>
      </w:r>
    </w:p>
    <w:p w14:paraId="5F6AC74F">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14:paraId="05CAFF69">
      <w:pPr>
        <w:spacing w:line="600" w:lineRule="exact"/>
        <w:ind w:firstLine="640"/>
        <w:rPr>
          <w:rFonts w:ascii="仿宋_GB2312"/>
          <w:sz w:val="32"/>
          <w:szCs w:val="32"/>
        </w:rPr>
      </w:pPr>
      <w:r>
        <w:rPr>
          <w:rFonts w:hint="eastAsia" w:ascii="仿宋_GB2312"/>
          <w:sz w:val="32"/>
          <w:szCs w:val="32"/>
        </w:rPr>
        <w:t>通过困难残疾人生活补贴和重度残疾人护理补贴项目的实施，有效解决残疾人特殊生活困难和长期护理困难等实际问题，全面建立我县困难残疾人生活补贴和重度残疾人护理补贴制度，保障残疾人生存发展权益，提高残疾人生活质量，促进社会和谐稳定。该项目预算执行率达100％。</w:t>
      </w:r>
    </w:p>
    <w:p w14:paraId="563A8A03">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14:paraId="66D1D029">
      <w:pPr>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对2023年困难残疾人生活补贴和重度残疾人护理补贴项目的绩效目标和各项具体绩效指标实现情况进行了客观评价，最终评分为96.46分。绩效评级为“优”，具体得分情况为：项目决策15分、项目过程15分、项目产出36.46分、项目效益20分、项目满意度10分。</w:t>
      </w:r>
    </w:p>
    <w:p w14:paraId="23ABB350">
      <w:pPr>
        <w:pStyle w:val="3"/>
        <w:spacing w:line="600" w:lineRule="exact"/>
        <w:ind w:firstLine="640"/>
        <w:rPr>
          <w:szCs w:val="32"/>
        </w:rPr>
      </w:pPr>
      <w:r>
        <w:rPr>
          <w:rFonts w:hint="eastAsia"/>
          <w:szCs w:val="32"/>
        </w:rPr>
        <w:t>四、绩效评价指标分析</w:t>
      </w:r>
    </w:p>
    <w:p w14:paraId="285CE4C4">
      <w:pPr>
        <w:pStyle w:val="4"/>
        <w:spacing w:line="600" w:lineRule="exact"/>
        <w:ind w:firstLine="643"/>
        <w:rPr>
          <w:rFonts w:ascii="楷体_GB2312" w:eastAsia="楷体_GB2312"/>
          <w:szCs w:val="32"/>
        </w:rPr>
      </w:pPr>
      <w:r>
        <w:rPr>
          <w:rFonts w:hint="eastAsia" w:ascii="楷体_GB2312" w:eastAsia="楷体_GB2312"/>
          <w:szCs w:val="32"/>
        </w:rPr>
        <w:t>（一）项目决策情况</w:t>
      </w:r>
    </w:p>
    <w:p w14:paraId="53C87625">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项目决策类指标从项目立项、绩效目标和资金投入三个方面评价项目前期准备工作，权重分值为15分，本项目实际得分15分，得分率为100%。具体各项指标得分如下：</w:t>
      </w:r>
    </w:p>
    <w:p w14:paraId="0DC4CAF0">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立项依据充分性：本项目是由沙湾市民政局提出申报，于2023年1月批复设立，2023年我单位根据《2023年困难残疾人生活补贴和重度残疾人护理补贴》（沙财字〔2023〕6号）文件要求组织实施该项目。项目立项符合国家法律法规、自治区和地区行业发展规划和政策要求，属于本部门履职所需。根据评分标准，该指标2.5分，得2.5分。</w:t>
      </w:r>
    </w:p>
    <w:p w14:paraId="0B430A7B">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2.立项程序规范性：根据决策依据编制工作计划和经费预算，经过与部门市政府分管领导进行沟通、筛选确定经费预算计划，上党委会研究确定最终预算方案。根据评分标准，该指标2.5分，得2.5分。</w:t>
      </w:r>
    </w:p>
    <w:p w14:paraId="144BB4C4">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3.绩效目标合理性：本项目制定了项目支出绩效目标，明确了项目总体思路及总目标、并对项目任务进行了详细分解，对目标进行了细化。根据评分标准，该指标3分，得3分。</w:t>
      </w:r>
    </w:p>
    <w:p w14:paraId="09A2C2CE">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4.绩效指标明确性：本项目已将项目绩效目标细化分解为具体的绩效指标，并通过清晰、可衡量的指标值予以体现，与项目目标任务数或计划数相对应。根据评分标准，该指标2分，得2分。</w:t>
      </w:r>
    </w:p>
    <w:p w14:paraId="5008D7A1">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5.预算编制科学性： 预算编制经过科学论证，内容与项目内容匹配，项目投资额与工作任务相匹配，根据评分标准，该指标3分，得3分。</w:t>
      </w:r>
    </w:p>
    <w:p w14:paraId="6AB67C5C">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6.资金分配合理性：本项目资金分配依据充分，资金分配额度合理，与项目地方实际相适应。根据评分标准，该指标2分，得2分。</w:t>
      </w:r>
    </w:p>
    <w:p w14:paraId="7848944E">
      <w:pPr>
        <w:pStyle w:val="4"/>
        <w:spacing w:line="600" w:lineRule="exact"/>
        <w:ind w:firstLine="643"/>
        <w:rPr>
          <w:rFonts w:ascii="楷体_GB2312" w:eastAsia="楷体_GB2312"/>
          <w:szCs w:val="32"/>
        </w:rPr>
      </w:pPr>
      <w:r>
        <w:rPr>
          <w:rFonts w:hint="eastAsia" w:ascii="楷体_GB2312" w:eastAsia="楷体_GB2312"/>
          <w:szCs w:val="32"/>
        </w:rPr>
        <w:t>（二）项目过程情况</w:t>
      </w:r>
    </w:p>
    <w:p w14:paraId="760FB119">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项目过程类指标包括资金管理和组织实施两方面的内容，由 5个三级指标构成，权重分值为 15 分，本项目实际得分15分，得分率为100%。具体各项指标得分如下：</w:t>
      </w:r>
    </w:p>
    <w:p w14:paraId="718951ED">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 xml:space="preserve">1.资金到位率：该项目所需财政资金能够足额拨付到位，牵头单位能够及时足额按照合同约定将专项资金拨付给单位，根据评分标准，该指标2分，得2分。   </w:t>
      </w:r>
    </w:p>
    <w:p w14:paraId="1B1DB0BD">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2.预算执行率：本项目预算编制较为详细，预算资金473.14万元，实际执行473.14万元，预算执行率为100%，项目资金支出总体能够按照预算执行，根据评分标准，该指标2分，得2分。</w:t>
      </w:r>
    </w:p>
    <w:p w14:paraId="1F351ED9">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3.资金使用合规性：项目任务下达后，我单位按照国务院《关于全面建立困难残疾人生活补贴和重试残疾人护理补贴的意见》对经费使用进行规范管理，财务制度健全、执行严格；根据评分标准，该指标3分，得3分。</w:t>
      </w:r>
    </w:p>
    <w:p w14:paraId="51B9E68B">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4.管理制度健全性：我单位按照国务院《关于全面建立困难残疾人生活补贴和重试残疾人护理补贴的意见》等相关项目管理办法，同时对财政专项资金进行严格管理，基本做到了专款专用，根据评分标准，该指标4分，得4分。</w:t>
      </w:r>
    </w:p>
    <w:p w14:paraId="6035E943">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14:paraId="4BEB9167">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（三）项目产出情况</w:t>
      </w:r>
    </w:p>
    <w:p w14:paraId="0277536E">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项目产出类指标包括产出数量、产出质量、产出时效、产出成本共四方面的内容，由4个三级指标构成，权重分为40分，本项目实际得分36.46分，得分率为91.15%。具体各项指标得分如下：</w:t>
      </w:r>
    </w:p>
    <w:p w14:paraId="27E85674">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14:paraId="0208EA88">
      <w:pPr>
        <w:spacing w:line="600" w:lineRule="exact"/>
        <w:ind w:firstLine="640"/>
        <w:rPr>
          <w:sz w:val="32"/>
          <w:szCs w:val="32"/>
        </w:rPr>
      </w:pPr>
      <w:r>
        <w:rPr>
          <w:rFonts w:hint="eastAsia"/>
          <w:sz w:val="32"/>
          <w:szCs w:val="32"/>
        </w:rPr>
        <w:t>“困难残疾人生活补贴人数（人）”指标，预期指标值为“大于等于1300人”；实际完成人数1053人，指标完成率为81%，偏差率为19%，造成偏差原因为：困难残疾人生活补贴人数，根据残疾人员实行动态管理，对符合残疾人条件的人员及时纳入享受困难残疾人生活补贴，对不符合条件的及时予以清退。根据评分标准，该指标扣2.37分，得2.63分。</w:t>
      </w:r>
    </w:p>
    <w:p w14:paraId="736000D0">
      <w:pPr>
        <w:spacing w:line="600" w:lineRule="exact"/>
        <w:ind w:firstLine="640"/>
        <w:rPr>
          <w:sz w:val="32"/>
          <w:szCs w:val="32"/>
        </w:rPr>
      </w:pPr>
      <w:r>
        <w:rPr>
          <w:rFonts w:hint="eastAsia"/>
          <w:sz w:val="32"/>
          <w:szCs w:val="32"/>
        </w:rPr>
        <w:t>“重度残疾人护理补贴人数（人）”指标，预期指标值为“大于等于2500人”；实际完成人数2265人，指标完成率为90.6%，偏差率为9.4%，造成偏差原因为：重度残疾人护理补贴动态管理，对新鉴定为重度残疾的残疾人纳入重度残疾人护理补贴，对残疾证已到期未换证和死亡人员及时清退。根据评分标准，该指标扣1.17分，得3.83分。</w:t>
      </w:r>
    </w:p>
    <w:p w14:paraId="51E3F839">
      <w:pPr>
        <w:spacing w:line="600" w:lineRule="exact"/>
        <w:ind w:firstLine="643"/>
        <w:rPr>
          <w:rFonts w:ascii="仿宋_GB2312"/>
          <w:b/>
          <w:bCs/>
          <w:sz w:val="32"/>
        </w:rPr>
      </w:pPr>
      <w:r>
        <w:rPr>
          <w:rFonts w:hint="eastAsia" w:ascii="仿宋_GB2312"/>
          <w:b/>
          <w:bCs/>
          <w:sz w:val="32"/>
        </w:rPr>
        <w:t>2.产出质量</w:t>
      </w:r>
    </w:p>
    <w:p w14:paraId="71CB86E3">
      <w:pPr>
        <w:spacing w:line="600" w:lineRule="exact"/>
        <w:ind w:firstLine="640"/>
        <w:rPr>
          <w:sz w:val="32"/>
          <w:szCs w:val="32"/>
        </w:rPr>
      </w:pPr>
      <w:r>
        <w:rPr>
          <w:rFonts w:hint="eastAsia"/>
          <w:sz w:val="32"/>
          <w:szCs w:val="32"/>
        </w:rPr>
        <w:t>“残疾人补贴发放准确率（％）”指标，预期指标值为“等于100%”，困难残疾人生活补贴人数，根据残疾人员实行动态管理，对符合残疾人条件的人员及时纳入享受困难残疾人生活补贴，对不符合残疾人条件的及时予以清退；重度残疾人护理补贴动态管理，对新鉴定为重度残疾的残疾人纳入重度残疾人护理补贴，对残疾证已到期未换证和死亡人员及时清退。救助人员覆盖率100%，与预期目标一致，根据评分标准，该指标10分，得10分。</w:t>
      </w:r>
    </w:p>
    <w:p w14:paraId="64CD7008">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14:paraId="68BF583D">
      <w:pPr>
        <w:pStyle w:val="6"/>
        <w:spacing w:before="0" w:after="0" w:line="600" w:lineRule="exact"/>
        <w:ind w:firstLine="640"/>
        <w:jc w:val="both"/>
        <w:rPr>
          <w:rFonts w:ascii="仿宋_GB2312" w:cs="仿宋_GB2312"/>
          <w:b w:val="0"/>
          <w:color w:val="FF0000"/>
          <w:sz w:val="32"/>
          <w:szCs w:val="32"/>
        </w:rPr>
      </w:pPr>
      <w:r>
        <w:rPr>
          <w:rFonts w:hint="eastAsia"/>
          <w:b w:val="0"/>
          <w:sz w:val="32"/>
          <w:szCs w:val="32"/>
        </w:rPr>
        <w:t>“项目完成时间”指标，预期指标值为“等于100%”；根据资金支付凭证显示，该项目于2023年12月25日完成发放，按相关规定，资金已于2023年12月25日前全部支付完毕，与预期目标指标一致，根据评分标准，该指标10分，得10分。</w:t>
      </w:r>
    </w:p>
    <w:p w14:paraId="18E3A074">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4.产出成本</w:t>
      </w:r>
    </w:p>
    <w:p w14:paraId="037BED91">
      <w:pPr>
        <w:overflowPunct w:val="0"/>
        <w:spacing w:line="600" w:lineRule="exact"/>
        <w:ind w:firstLine="640"/>
        <w:contextualSpacing/>
        <w:rPr>
          <w:rFonts w:ascii="仿宋_GB2312" w:hAnsi="仿宋_GB2312" w:cs="仿宋_GB2312"/>
          <w:bCs/>
          <w:color w:val="000000" w:themeColor="text1"/>
          <w:sz w:val="32"/>
          <w:szCs w:val="32"/>
        </w:rPr>
      </w:pPr>
      <w:r>
        <w:rPr>
          <w:rFonts w:hint="eastAsia" w:ascii="仿宋_GB2312" w:hAnsi="仿宋_GB2312" w:cs="仿宋_GB2312"/>
          <w:bCs/>
          <w:color w:val="000000" w:themeColor="text1"/>
          <w:sz w:val="32"/>
          <w:szCs w:val="32"/>
        </w:rPr>
        <w:t>经济成本“困难残疾人生活补贴标准（元/人/月）”指标，预期指标值为“小于等于120元/人/月”，根据资金支付凭证显示，实际完成经济成本120元/人/月；“重度残疾人护理标准（元/人/月）”指标，预期指标值为“小于等于120元/人/月”，根据资金支付凭证显示，实际完成经济成本120元/人/月；经费支出能够控制在年度计划成本范围内，根据评分标准，该指标10分，得10分。</w:t>
      </w:r>
    </w:p>
    <w:p w14:paraId="6ABF95BC">
      <w:pPr>
        <w:pStyle w:val="4"/>
        <w:spacing w:line="600" w:lineRule="exact"/>
        <w:ind w:left="560" w:leftChars="200" w:firstLine="0" w:firstLineChars="0"/>
        <w:rPr>
          <w:rFonts w:ascii="楷体_GB2312" w:eastAsia="楷体_GB2312"/>
          <w:szCs w:val="32"/>
        </w:rPr>
      </w:pPr>
      <w:r>
        <w:rPr>
          <w:rFonts w:hint="eastAsia" w:ascii="楷体_GB2312" w:eastAsia="楷体_GB2312"/>
          <w:szCs w:val="32"/>
        </w:rPr>
        <w:t>（四）项目效益情况</w:t>
      </w:r>
    </w:p>
    <w:p w14:paraId="4EC69101">
      <w:pPr>
        <w:overflowPunct w:val="0"/>
        <w:spacing w:line="600" w:lineRule="exact"/>
        <w:ind w:firstLine="640"/>
        <w:contextualSpacing/>
        <w:rPr>
          <w:rFonts w:ascii="仿宋_GB2312" w:hAnsi="仿宋_GB2312" w:cs="仿宋_GB2312"/>
          <w:bCs/>
          <w:color w:val="000000" w:themeColor="text1"/>
          <w:sz w:val="32"/>
          <w:szCs w:val="32"/>
        </w:rPr>
      </w:pPr>
      <w:r>
        <w:rPr>
          <w:rFonts w:hint="eastAsia" w:ascii="仿宋_GB2312" w:hAnsi="仿宋_GB2312" w:cs="仿宋_GB2312"/>
          <w:bCs/>
          <w:color w:val="000000" w:themeColor="text1"/>
          <w:sz w:val="32"/>
          <w:szCs w:val="32"/>
          <w:lang w:val="zh-TW" w:eastAsia="zh-TW"/>
        </w:rPr>
        <w:t>项目</w:t>
      </w:r>
      <w:r>
        <w:rPr>
          <w:rFonts w:hint="eastAsia" w:ascii="仿宋_GB2312" w:hAnsi="仿宋_GB2312" w:cs="仿宋_GB2312"/>
          <w:bCs/>
          <w:color w:val="000000" w:themeColor="text1"/>
          <w:sz w:val="32"/>
          <w:szCs w:val="32"/>
        </w:rPr>
        <w:t>效益</w:t>
      </w:r>
      <w:r>
        <w:rPr>
          <w:rFonts w:hint="eastAsia" w:ascii="仿宋_GB2312" w:hAnsi="仿宋_GB2312" w:cs="仿宋_GB2312"/>
          <w:bCs/>
          <w:color w:val="000000" w:themeColor="text1"/>
          <w:sz w:val="32"/>
          <w:szCs w:val="32"/>
          <w:lang w:val="zh-TW" w:eastAsia="zh-TW"/>
        </w:rPr>
        <w:t>类指标由</w:t>
      </w:r>
      <w:r>
        <w:rPr>
          <w:rFonts w:hint="eastAsia" w:ascii="仿宋_GB2312" w:hAnsi="仿宋_GB2312" w:cs="仿宋_GB2312"/>
          <w:bCs/>
          <w:color w:val="000000" w:themeColor="text1"/>
          <w:sz w:val="32"/>
          <w:szCs w:val="32"/>
        </w:rPr>
        <w:t>社会效益2</w:t>
      </w:r>
      <w:r>
        <w:rPr>
          <w:rFonts w:hint="eastAsia" w:ascii="仿宋_GB2312" w:hAnsi="仿宋_GB2312" w:cs="仿宋_GB2312"/>
          <w:bCs/>
          <w:color w:val="000000" w:themeColor="text1"/>
          <w:sz w:val="32"/>
          <w:szCs w:val="32"/>
          <w:lang w:val="zh-TW" w:eastAsia="zh-TW"/>
        </w:rPr>
        <w:t>个</w:t>
      </w:r>
      <w:r>
        <w:rPr>
          <w:rFonts w:hint="eastAsia" w:ascii="仿宋_GB2312" w:hAnsi="仿宋_GB2312" w:cs="仿宋_GB2312"/>
          <w:bCs/>
          <w:color w:val="000000" w:themeColor="text1"/>
          <w:sz w:val="32"/>
          <w:szCs w:val="32"/>
          <w:lang w:val="zh-TW"/>
        </w:rPr>
        <w:t>二</w:t>
      </w:r>
      <w:r>
        <w:rPr>
          <w:rFonts w:hint="eastAsia" w:ascii="仿宋_GB2312" w:hAnsi="仿宋_GB2312" w:cs="仿宋_GB2312"/>
          <w:bCs/>
          <w:color w:val="000000" w:themeColor="text1"/>
          <w:sz w:val="32"/>
          <w:szCs w:val="32"/>
          <w:lang w:val="zh-TW" w:eastAsia="zh-TW"/>
        </w:rPr>
        <w:t>级指标和</w:t>
      </w:r>
      <w:r>
        <w:rPr>
          <w:rFonts w:hint="eastAsia" w:ascii="仿宋_GB2312" w:hAnsi="仿宋_GB2312" w:cs="仿宋_GB2312"/>
          <w:bCs/>
          <w:color w:val="000000" w:themeColor="text1"/>
          <w:sz w:val="32"/>
          <w:szCs w:val="32"/>
        </w:rPr>
        <w:t>2</w:t>
      </w:r>
      <w:r>
        <w:rPr>
          <w:rFonts w:hint="eastAsia" w:ascii="仿宋_GB2312" w:hAnsi="仿宋_GB2312" w:cs="仿宋_GB2312"/>
          <w:bCs/>
          <w:color w:val="000000" w:themeColor="text1"/>
          <w:sz w:val="32"/>
          <w:szCs w:val="32"/>
          <w:lang w:val="zh-TW" w:eastAsia="zh-TW"/>
        </w:rPr>
        <w:t>个</w:t>
      </w:r>
      <w:r>
        <w:rPr>
          <w:rFonts w:hint="eastAsia" w:ascii="仿宋_GB2312" w:hAnsi="仿宋_GB2312" w:cs="仿宋_GB2312"/>
          <w:bCs/>
          <w:color w:val="000000" w:themeColor="text1"/>
          <w:sz w:val="32"/>
          <w:szCs w:val="32"/>
        </w:rPr>
        <w:t>三</w:t>
      </w:r>
      <w:r>
        <w:rPr>
          <w:rFonts w:hint="eastAsia" w:ascii="仿宋_GB2312" w:hAnsi="仿宋_GB2312" w:cs="仿宋_GB2312"/>
          <w:bCs/>
          <w:color w:val="000000" w:themeColor="text1"/>
          <w:sz w:val="32"/>
          <w:szCs w:val="32"/>
          <w:lang w:val="zh-TW" w:eastAsia="zh-TW"/>
        </w:rPr>
        <w:t>级指标构成，</w:t>
      </w:r>
      <w:r>
        <w:rPr>
          <w:rFonts w:hint="eastAsia" w:ascii="仿宋_GB2312" w:hAnsi="仿宋_GB2312" w:cs="仿宋_GB2312"/>
          <w:bCs/>
          <w:color w:val="000000" w:themeColor="text1"/>
          <w:sz w:val="32"/>
          <w:szCs w:val="32"/>
        </w:rPr>
        <w:t>权重分为30分，本项目实际得分30分，得分率为100%。具体各项指标得分如下：</w:t>
      </w:r>
    </w:p>
    <w:p w14:paraId="4499D544">
      <w:pPr>
        <w:spacing w:line="600" w:lineRule="exact"/>
        <w:ind w:firstLine="643"/>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14:paraId="4C76B086">
      <w:pPr>
        <w:overflowPunct w:val="0"/>
        <w:spacing w:line="600" w:lineRule="exact"/>
        <w:ind w:firstLine="640"/>
        <w:contextualSpacing/>
        <w:rPr>
          <w:rFonts w:ascii="仿宋_GB2312" w:cs="仿宋_GB2312"/>
          <w:sz w:val="32"/>
          <w:szCs w:val="32"/>
        </w:rPr>
      </w:pPr>
      <w:r>
        <w:rPr>
          <w:rFonts w:hint="eastAsia" w:ascii="仿宋_GB2312" w:cs="仿宋_GB2312"/>
          <w:sz w:val="32"/>
          <w:szCs w:val="32"/>
        </w:rPr>
        <w:t>“社会效益”指标，预期指标值为“提高残疾人生活水平指标”，根据本单位年度考核情况，实际完成值为“基本达到目标”，根据评分标准，该指标20分，得20分。</w:t>
      </w:r>
    </w:p>
    <w:p w14:paraId="14B6572A">
      <w:pPr>
        <w:numPr>
          <w:ilvl w:val="0"/>
          <w:numId w:val="6"/>
        </w:numPr>
        <w:spacing w:line="600" w:lineRule="exact"/>
        <w:ind w:firstLine="643"/>
        <w:rPr>
          <w:rFonts w:ascii="仿宋_GB2312"/>
          <w:b/>
          <w:bCs/>
          <w:sz w:val="32"/>
          <w:szCs w:val="32"/>
        </w:rPr>
      </w:pPr>
      <w:r>
        <w:rPr>
          <w:rFonts w:hint="eastAsia" w:ascii="仿宋_GB2312"/>
          <w:b/>
          <w:bCs/>
          <w:sz w:val="32"/>
          <w:szCs w:val="32"/>
        </w:rPr>
        <w:t>经济效益指标</w:t>
      </w:r>
    </w:p>
    <w:p w14:paraId="3CF21D81">
      <w:pPr>
        <w:pStyle w:val="2"/>
        <w:ind w:firstLine="640"/>
        <w:rPr>
          <w:rFonts w:hAnsi="Times New Roman"/>
          <w:b w:val="0"/>
          <w:bCs w:val="0"/>
          <w:kern w:val="2"/>
          <w:sz w:val="32"/>
        </w:rPr>
      </w:pPr>
      <w:r>
        <w:rPr>
          <w:rFonts w:hint="eastAsia" w:hAnsi="Times New Roman"/>
          <w:b w:val="0"/>
          <w:bCs w:val="0"/>
          <w:kern w:val="2"/>
          <w:sz w:val="32"/>
        </w:rPr>
        <w:t>本项目无该项指标。</w:t>
      </w:r>
    </w:p>
    <w:p w14:paraId="46E5E67D">
      <w:pPr>
        <w:spacing w:line="600" w:lineRule="exact"/>
        <w:ind w:firstLine="643"/>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14:paraId="29D545B1">
      <w:pPr>
        <w:spacing w:line="600" w:lineRule="exact"/>
        <w:ind w:firstLine="640"/>
        <w:rPr>
          <w:rFonts w:ascii="仿宋_GB2312"/>
          <w:b/>
          <w:color w:val="FF0000"/>
          <w:sz w:val="32"/>
          <w:szCs w:val="32"/>
        </w:rPr>
      </w:pPr>
      <w:r>
        <w:rPr>
          <w:rFonts w:hint="eastAsia" w:ascii="仿宋_GB2312"/>
          <w:sz w:val="32"/>
          <w:szCs w:val="32"/>
        </w:rPr>
        <w:t>本项目无该项指标。</w:t>
      </w:r>
    </w:p>
    <w:p w14:paraId="07D09B84">
      <w:pPr>
        <w:pStyle w:val="4"/>
        <w:spacing w:line="600" w:lineRule="exact"/>
        <w:ind w:left="560" w:leftChars="200" w:firstLine="0" w:firstLineChars="0"/>
        <w:rPr>
          <w:rFonts w:ascii="楷体_GB2312" w:eastAsia="楷体_GB2312"/>
          <w:szCs w:val="32"/>
        </w:rPr>
      </w:pPr>
      <w:r>
        <w:rPr>
          <w:rFonts w:hint="eastAsia" w:ascii="楷体_GB2312" w:eastAsia="楷体_GB2312"/>
          <w:szCs w:val="32"/>
        </w:rPr>
        <w:t>（五）满意度指标完成情况分析</w:t>
      </w:r>
    </w:p>
    <w:p w14:paraId="1F682599">
      <w:pPr>
        <w:pStyle w:val="21"/>
        <w:spacing w:line="600" w:lineRule="exact"/>
        <w:ind w:firstLine="640"/>
        <w:rPr>
          <w:rFonts w:ascii="仿宋_GB2312" w:hAnsi="仿宋_GB2312" w:cs="仿宋_GB2312"/>
          <w:color w:val="000000" w:themeColor="text1"/>
          <w:kern w:val="2"/>
          <w:sz w:val="32"/>
          <w:szCs w:val="32"/>
        </w:rPr>
      </w:pPr>
      <w:bookmarkStart w:id="16" w:name="_Toc1921"/>
      <w:bookmarkStart w:id="17" w:name="_Toc28290"/>
      <w:r>
        <w:rPr>
          <w:rFonts w:hint="eastAsia" w:ascii="仿宋_GB2312" w:hAnsi="仿宋_GB2312" w:cs="仿宋_GB2312"/>
          <w:color w:val="000000" w:themeColor="text1"/>
          <w:kern w:val="2"/>
          <w:sz w:val="32"/>
          <w:szCs w:val="32"/>
        </w:rPr>
        <w:t>“受益残疾人满意度”指标，预期指标值为“</w:t>
      </w:r>
      <w:r>
        <w:rPr>
          <w:rFonts w:hint="eastAsia"/>
          <w:sz w:val="32"/>
          <w:szCs w:val="32"/>
        </w:rPr>
        <w:t>大于等于</w:t>
      </w:r>
      <w:r>
        <w:rPr>
          <w:rFonts w:hint="eastAsia" w:ascii="仿宋_GB2312" w:hAnsi="仿宋_GB2312" w:cs="仿宋_GB2312"/>
          <w:color w:val="000000" w:themeColor="text1"/>
          <w:kern w:val="2"/>
          <w:sz w:val="32"/>
          <w:szCs w:val="32"/>
        </w:rPr>
        <w:t>95%”，根据对受益残疾人进行满意度问卷调查和入户走访的结果可知，困难群众满意度达100%，根据评分标准，该指标10分,得10分。</w:t>
      </w:r>
    </w:p>
    <w:p w14:paraId="2060D04B">
      <w:pPr>
        <w:pStyle w:val="3"/>
        <w:spacing w:line="600" w:lineRule="exact"/>
        <w:ind w:firstLine="640"/>
        <w:rPr>
          <w:szCs w:val="32"/>
        </w:rPr>
      </w:pPr>
      <w:r>
        <w:rPr>
          <w:rFonts w:hint="eastAsia"/>
          <w:szCs w:val="32"/>
        </w:rPr>
        <w:t>五、预算执行进度与绩效指标偏差情况</w:t>
      </w:r>
    </w:p>
    <w:p w14:paraId="1632EF9F">
      <w:pPr>
        <w:pStyle w:val="4"/>
        <w:numPr>
          <w:ilvl w:val="0"/>
          <w:numId w:val="7"/>
        </w:numPr>
        <w:spacing w:line="600" w:lineRule="exact"/>
        <w:ind w:firstLine="643"/>
        <w:rPr>
          <w:rFonts w:ascii="楷体_GB2312" w:eastAsia="楷体_GB2312"/>
          <w:szCs w:val="32"/>
        </w:rPr>
      </w:pPr>
      <w:r>
        <w:rPr>
          <w:rFonts w:hint="eastAsia" w:ascii="楷体_GB2312" w:eastAsia="楷体_GB2312"/>
          <w:szCs w:val="32"/>
        </w:rPr>
        <w:t>预算执行进度</w:t>
      </w:r>
    </w:p>
    <w:p w14:paraId="23DF3978">
      <w:pPr>
        <w:pStyle w:val="21"/>
        <w:spacing w:line="600" w:lineRule="exact"/>
        <w:ind w:firstLine="640"/>
        <w:rPr>
          <w:rFonts w:ascii="仿宋_GB2312"/>
          <w:sz w:val="32"/>
          <w:szCs w:val="32"/>
        </w:rPr>
      </w:pPr>
      <w:r>
        <w:rPr>
          <w:rFonts w:hint="eastAsia" w:ascii="仿宋_GB2312"/>
          <w:sz w:val="32"/>
          <w:szCs w:val="32"/>
        </w:rPr>
        <w:t>2023年困难残疾人生活补贴和重度残疾人护理补贴项目预算金额473.14万元，实际到位473.14万元，全年项目实际支出473.14万元，预算执行率为100%。</w:t>
      </w:r>
    </w:p>
    <w:p w14:paraId="24319F86">
      <w:pPr>
        <w:pStyle w:val="4"/>
        <w:numPr>
          <w:ilvl w:val="0"/>
          <w:numId w:val="7"/>
        </w:numPr>
        <w:spacing w:line="600" w:lineRule="exact"/>
        <w:ind w:firstLine="643"/>
        <w:rPr>
          <w:rFonts w:ascii="楷体_GB2312" w:eastAsia="楷体_GB2312"/>
          <w:szCs w:val="32"/>
        </w:rPr>
      </w:pPr>
      <w:r>
        <w:rPr>
          <w:rFonts w:hint="eastAsia" w:ascii="楷体_GB2312" w:eastAsia="楷体_GB2312"/>
          <w:szCs w:val="32"/>
        </w:rPr>
        <w:t>绩效指标偏差情况</w:t>
      </w:r>
    </w:p>
    <w:p w14:paraId="58CCAC3B">
      <w:pPr>
        <w:pStyle w:val="21"/>
        <w:spacing w:line="600" w:lineRule="exact"/>
        <w:ind w:firstLine="640"/>
        <w:rPr>
          <w:rFonts w:ascii="仿宋_GB2312"/>
          <w:sz w:val="32"/>
          <w:szCs w:val="32"/>
        </w:rPr>
      </w:pPr>
      <w:r>
        <w:rPr>
          <w:rFonts w:hint="eastAsia" w:ascii="仿宋_GB2312"/>
          <w:sz w:val="32"/>
          <w:szCs w:val="32"/>
        </w:rPr>
        <w:t>2023年我单位负责实施的困难残疾人生活补贴和重度残疾人护理补贴项目中，困难残疾人生活补贴人数（人）指标和重度残疾人护理补贴人数（人）”指标的完成情况未能达到预算指标值，存在偏差的原因如下：</w:t>
      </w:r>
    </w:p>
    <w:p w14:paraId="02E54E50">
      <w:pPr>
        <w:pStyle w:val="21"/>
        <w:spacing w:line="600" w:lineRule="exact"/>
        <w:ind w:firstLine="640"/>
        <w:rPr>
          <w:rFonts w:ascii="仿宋_GB2312"/>
          <w:sz w:val="32"/>
          <w:szCs w:val="32"/>
        </w:rPr>
      </w:pPr>
      <w:r>
        <w:rPr>
          <w:rFonts w:hint="eastAsia" w:ascii="仿宋_GB2312"/>
          <w:sz w:val="32"/>
          <w:szCs w:val="32"/>
        </w:rPr>
        <w:t>1、困难残疾人生活补贴人数年度指标值≥1300人，实际完成值1053人，存在偏差的原因是残</w:t>
      </w:r>
      <w:r>
        <w:rPr>
          <w:rFonts w:hint="eastAsia"/>
          <w:sz w:val="32"/>
          <w:szCs w:val="32"/>
        </w:rPr>
        <w:t>疾人员实行动态管理，对符合残疾人条件的人员及时纳入享受困难残疾人生活补贴，对不符合条件的及</w:t>
      </w:r>
      <w:r>
        <w:rPr>
          <w:rFonts w:hint="eastAsia" w:ascii="仿宋_GB2312"/>
          <w:sz w:val="32"/>
          <w:szCs w:val="32"/>
        </w:rPr>
        <w:t>时予以清退。</w:t>
      </w:r>
    </w:p>
    <w:p w14:paraId="6A26EE2E">
      <w:pPr>
        <w:pStyle w:val="21"/>
        <w:spacing w:line="600" w:lineRule="exact"/>
        <w:ind w:firstLine="640"/>
        <w:rPr>
          <w:rFonts w:ascii="仿宋_GB2312"/>
          <w:sz w:val="32"/>
          <w:szCs w:val="32"/>
        </w:rPr>
      </w:pPr>
      <w:r>
        <w:rPr>
          <w:rFonts w:hint="eastAsia" w:ascii="仿宋_GB2312"/>
          <w:sz w:val="32"/>
          <w:szCs w:val="32"/>
        </w:rPr>
        <w:t>2、重度残疾人护理补贴人数年度指标值≥2500人，实际完成值2265人，存在偏差的原因是残疾人员实行动态管理，对符合残疾人条件的人员及时纳入享受重度残疾人生活补贴，对不符合条件的及时予以清退。</w:t>
      </w:r>
      <w:bookmarkEnd w:id="16"/>
      <w:bookmarkEnd w:id="17"/>
    </w:p>
    <w:p w14:paraId="2CC334D2">
      <w:pPr>
        <w:pStyle w:val="21"/>
        <w:spacing w:line="600" w:lineRule="exact"/>
        <w:ind w:firstLine="640"/>
        <w:rPr>
          <w:rFonts w:eastAsia="黑体"/>
          <w:kern w:val="44"/>
          <w:sz w:val="32"/>
          <w:szCs w:val="32"/>
        </w:rPr>
      </w:pPr>
      <w:r>
        <w:rPr>
          <w:rFonts w:hint="eastAsia" w:eastAsia="黑体"/>
          <w:kern w:val="44"/>
          <w:sz w:val="32"/>
          <w:szCs w:val="32"/>
        </w:rPr>
        <w:t>六、主要经验及做法、存在的问题及原因分析</w:t>
      </w:r>
    </w:p>
    <w:p w14:paraId="283E3C70">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14:paraId="57BB2607">
      <w:pPr>
        <w:spacing w:line="520" w:lineRule="exact"/>
        <w:ind w:firstLine="640"/>
        <w:rPr>
          <w:rFonts w:ascii="仿宋_GB2312"/>
          <w:kern w:val="0"/>
          <w:sz w:val="32"/>
          <w:szCs w:val="32"/>
        </w:rPr>
      </w:pPr>
      <w:bookmarkStart w:id="18" w:name="_Toc68364674"/>
      <w:r>
        <w:rPr>
          <w:rFonts w:hint="eastAsia" w:ascii="仿宋_GB2312"/>
          <w:kern w:val="0"/>
          <w:sz w:val="32"/>
          <w:szCs w:val="32"/>
        </w:rPr>
        <w:t>补助资金通过一卡通，直接打入残疾人账户，无截留、挪用及改变专项资金的用途等，使专项资金充分发挥效应。</w:t>
      </w:r>
    </w:p>
    <w:p w14:paraId="2224983C">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14:paraId="20E40C90">
      <w:pPr>
        <w:spacing w:line="520" w:lineRule="exact"/>
        <w:ind w:firstLine="640"/>
        <w:rPr>
          <w:rFonts w:ascii="仿宋_GB2312" w:hAnsi="仿宋_GB2312" w:cs="仿宋_GB2312"/>
          <w:sz w:val="32"/>
          <w:szCs w:val="32"/>
        </w:rPr>
      </w:pPr>
      <w:r>
        <w:rPr>
          <w:rFonts w:hint="eastAsia" w:ascii="仿宋_GB2312" w:hAnsi="仿宋_GB2312" w:cs="仿宋_GB2312"/>
          <w:sz w:val="32"/>
          <w:szCs w:val="32"/>
        </w:rPr>
        <w:t>残疾人死亡更新情况上报慢，不能及时取消已死亡残疾人享受资金，为后期追回资金上交造成困难。</w:t>
      </w:r>
    </w:p>
    <w:p w14:paraId="7BB69E1B">
      <w:pPr>
        <w:pStyle w:val="3"/>
        <w:spacing w:line="600" w:lineRule="exact"/>
        <w:ind w:firstLine="640"/>
        <w:rPr>
          <w:szCs w:val="32"/>
        </w:rPr>
      </w:pPr>
      <w:r>
        <w:rPr>
          <w:rFonts w:hint="eastAsia"/>
          <w:szCs w:val="32"/>
        </w:rPr>
        <w:t>七、有关建议</w:t>
      </w:r>
    </w:p>
    <w:p w14:paraId="1ADA517A">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14:paraId="24FE6A21">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34C9DF4D">
      <w:pPr>
        <w:pStyle w:val="21"/>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14:paraId="010944E4">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关于绩效管理工作档案资料归档的相关要求，强化收集力度，确保归档资料的完整齐全。</w:t>
      </w:r>
    </w:p>
    <w:p w14:paraId="445ADFA8">
      <w:pPr>
        <w:pStyle w:val="21"/>
        <w:spacing w:line="600" w:lineRule="exact"/>
        <w:ind w:firstLine="643"/>
        <w:rPr>
          <w:rFonts w:ascii="仿宋_GB2312"/>
          <w:b/>
          <w:bCs/>
          <w:sz w:val="32"/>
          <w:szCs w:val="32"/>
        </w:rPr>
      </w:pPr>
      <w:r>
        <w:rPr>
          <w:rFonts w:hint="eastAsia" w:ascii="仿宋_GB2312"/>
          <w:b/>
          <w:bCs/>
          <w:sz w:val="32"/>
          <w:szCs w:val="32"/>
        </w:rPr>
        <w:t>3. 高度重视，加强领导</w:t>
      </w:r>
    </w:p>
    <w:p w14:paraId="2A0565B8">
      <w:pPr>
        <w:pStyle w:val="21"/>
        <w:spacing w:line="600" w:lineRule="exact"/>
        <w:ind w:firstLine="640"/>
        <w:rPr>
          <w:rFonts w:ascii="仿宋_GB2312" w:hAnsi="仿宋_GB2312" w:cs="仿宋_GB2312"/>
          <w:sz w:val="32"/>
          <w:szCs w:val="32"/>
        </w:rPr>
      </w:pPr>
      <w:r>
        <w:rPr>
          <w:rFonts w:hint="eastAsia" w:ascii="仿宋_GB2312"/>
          <w:sz w:val="32"/>
          <w:szCs w:val="32"/>
        </w:rPr>
        <w:t>高度重视，加强领导，精心组织。项目绩效</w:t>
      </w:r>
      <w:r>
        <w:rPr>
          <w:rFonts w:hint="eastAsia" w:ascii="仿宋_GB2312"/>
          <w:sz w:val="32"/>
          <w:szCs w:val="32"/>
          <w:lang w:eastAsia="zh-CN"/>
        </w:rPr>
        <w:t>评介</w:t>
      </w:r>
      <w:bookmarkStart w:id="19" w:name="_GoBack"/>
      <w:bookmarkEnd w:id="19"/>
      <w:r>
        <w:rPr>
          <w:rFonts w:hint="eastAsia" w:ascii="仿宋_GB2312"/>
          <w:sz w:val="32"/>
          <w:szCs w:val="32"/>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14:paraId="3D85F196">
      <w:pPr>
        <w:pStyle w:val="21"/>
        <w:spacing w:line="600" w:lineRule="exact"/>
        <w:ind w:firstLine="643"/>
        <w:rPr>
          <w:rFonts w:ascii="仿宋_GB2312"/>
          <w:b/>
          <w:bCs/>
          <w:sz w:val="32"/>
          <w:szCs w:val="32"/>
        </w:rPr>
      </w:pPr>
      <w:r>
        <w:rPr>
          <w:rFonts w:hint="eastAsia" w:ascii="仿宋_GB2312"/>
          <w:b/>
          <w:bCs/>
          <w:sz w:val="32"/>
          <w:szCs w:val="32"/>
        </w:rPr>
        <w:t>4.</w:t>
      </w:r>
      <w:r>
        <w:rPr>
          <w:rFonts w:ascii="仿宋_GB2312"/>
          <w:b/>
          <w:bCs/>
          <w:sz w:val="32"/>
          <w:szCs w:val="32"/>
        </w:rPr>
        <w:t>加大宣传力度，强化绩效理念</w:t>
      </w:r>
    </w:p>
    <w:p w14:paraId="15DCFDA7">
      <w:pPr>
        <w:pStyle w:val="21"/>
        <w:spacing w:line="600" w:lineRule="exact"/>
        <w:ind w:firstLine="640"/>
        <w:rPr>
          <w:rFonts w:ascii="仿宋_GB2312"/>
          <w:sz w:val="32"/>
          <w:szCs w:val="32"/>
        </w:rPr>
      </w:pPr>
      <w:r>
        <w:rPr>
          <w:rFonts w:ascii="仿宋_GB2312"/>
          <w:sz w:val="32"/>
          <w:szCs w:val="32"/>
        </w:rPr>
        <w:t>通过召开会议、</w:t>
      </w:r>
      <w:r>
        <w:rPr>
          <w:rFonts w:hint="eastAsia" w:ascii="仿宋_GB2312"/>
          <w:sz w:val="32"/>
          <w:szCs w:val="32"/>
        </w:rPr>
        <w:t>市</w:t>
      </w:r>
      <w:r>
        <w:rPr>
          <w:rFonts w:ascii="仿宋_GB2312"/>
          <w:sz w:val="32"/>
          <w:szCs w:val="32"/>
        </w:rPr>
        <w:t>级融媒体举办业务讲座等多种形式，组织预算单位的领导和财务人员学习预算绩效法律法规和相关政策，让绩效理念深入人心，让绩效操作人员吃透政策、知行合一。通过专门的工作报告、情况通报、工作简报等方式方法，积极向</w:t>
      </w:r>
      <w:r>
        <w:rPr>
          <w:rFonts w:hint="eastAsia" w:ascii="仿宋_GB2312"/>
          <w:sz w:val="32"/>
          <w:szCs w:val="32"/>
        </w:rPr>
        <w:t>市</w:t>
      </w:r>
      <w:r>
        <w:rPr>
          <w:rFonts w:ascii="仿宋_GB2312"/>
          <w:sz w:val="32"/>
          <w:szCs w:val="32"/>
        </w:rPr>
        <w:t>委、</w:t>
      </w:r>
      <w:r>
        <w:rPr>
          <w:rFonts w:hint="eastAsia" w:ascii="仿宋_GB2312"/>
          <w:sz w:val="32"/>
          <w:szCs w:val="32"/>
        </w:rPr>
        <w:t>市</w:t>
      </w:r>
      <w:r>
        <w:rPr>
          <w:rFonts w:ascii="仿宋_GB2312"/>
          <w:sz w:val="32"/>
          <w:szCs w:val="32"/>
        </w:rPr>
        <w:t>政府、人大、政协党政机关和主要党政领导汇报，最大限度争取重视和支持，提升预算绩效管理的权威性。</w:t>
      </w:r>
    </w:p>
    <w:p w14:paraId="059974EF">
      <w:pPr>
        <w:pStyle w:val="21"/>
        <w:numPr>
          <w:ilvl w:val="0"/>
          <w:numId w:val="8"/>
        </w:numPr>
        <w:spacing w:line="600" w:lineRule="exact"/>
        <w:ind w:firstLine="643"/>
        <w:rPr>
          <w:rFonts w:ascii="仿宋_GB2312"/>
          <w:b/>
          <w:bCs/>
          <w:sz w:val="32"/>
          <w:szCs w:val="32"/>
        </w:rPr>
      </w:pPr>
      <w:r>
        <w:rPr>
          <w:rFonts w:ascii="仿宋_GB2312"/>
          <w:b/>
          <w:bCs/>
          <w:sz w:val="32"/>
          <w:szCs w:val="32"/>
        </w:rPr>
        <w:t>加强业务培训，提升专业能力</w:t>
      </w:r>
    </w:p>
    <w:p w14:paraId="56F11D60">
      <w:pPr>
        <w:pStyle w:val="21"/>
        <w:spacing w:line="600" w:lineRule="exact"/>
        <w:ind w:firstLine="640"/>
        <w:rPr>
          <w:rFonts w:ascii="仿宋_GB2312"/>
          <w:sz w:val="32"/>
          <w:szCs w:val="32"/>
        </w:rPr>
      </w:pPr>
      <w:r>
        <w:rPr>
          <w:rFonts w:ascii="仿宋_GB2312"/>
          <w:sz w:val="32"/>
          <w:szCs w:val="32"/>
        </w:rPr>
        <w:t>预算绩效管理是一项专业性、技术性较强的工作，没有人才支撑，只能是纸上谈兵。</w:t>
      </w:r>
      <w:r>
        <w:rPr>
          <w:rFonts w:hint="eastAsia" w:ascii="仿宋_GB2312"/>
          <w:sz w:val="32"/>
          <w:szCs w:val="32"/>
        </w:rPr>
        <w:t>市</w:t>
      </w:r>
      <w:r>
        <w:rPr>
          <w:rFonts w:ascii="仿宋_GB2312"/>
          <w:sz w:val="32"/>
          <w:szCs w:val="32"/>
        </w:rPr>
        <w:t>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651964D4">
      <w:pPr>
        <w:pStyle w:val="21"/>
        <w:numPr>
          <w:ilvl w:val="0"/>
          <w:numId w:val="8"/>
        </w:numPr>
        <w:spacing w:line="600" w:lineRule="exact"/>
        <w:ind w:firstLine="643"/>
        <w:rPr>
          <w:rFonts w:ascii="仿宋_GB2312"/>
          <w:b/>
          <w:bCs/>
          <w:sz w:val="32"/>
          <w:szCs w:val="32"/>
        </w:rPr>
      </w:pPr>
      <w:r>
        <w:rPr>
          <w:rFonts w:ascii="仿宋_GB2312"/>
          <w:b/>
          <w:bCs/>
          <w:sz w:val="32"/>
          <w:szCs w:val="32"/>
        </w:rPr>
        <w:t>健全管理机制，促进深度融合</w:t>
      </w:r>
    </w:p>
    <w:p w14:paraId="2A5B76EB">
      <w:pPr>
        <w:pStyle w:val="21"/>
        <w:spacing w:line="600" w:lineRule="exact"/>
        <w:ind w:firstLine="640"/>
        <w:rPr>
          <w:rFonts w:ascii="仿宋_GB2312"/>
          <w:sz w:val="32"/>
          <w:szCs w:val="32"/>
        </w:rPr>
      </w:pPr>
      <w:r>
        <w:rPr>
          <w:rFonts w:ascii="仿宋_GB2312"/>
          <w:sz w:val="32"/>
          <w:szCs w:val="32"/>
        </w:rPr>
        <w:t>目前</w:t>
      </w:r>
      <w:r>
        <w:rPr>
          <w:rFonts w:hint="eastAsia" w:ascii="仿宋_GB2312"/>
          <w:sz w:val="32"/>
          <w:szCs w:val="32"/>
        </w:rPr>
        <w:t>市</w:t>
      </w:r>
      <w:r>
        <w:rPr>
          <w:rFonts w:ascii="仿宋_GB2312"/>
          <w:sz w:val="32"/>
          <w:szCs w:val="32"/>
        </w:rPr>
        <w:t>级财政部门的预算股、资金管理股和绩效管理股之间的预算绩效业务工作缺乏紧密配合，基本处于脱节状态，必须要加强</w:t>
      </w:r>
      <w:r>
        <w:rPr>
          <w:rFonts w:hint="eastAsia" w:ascii="仿宋_GB2312"/>
          <w:sz w:val="32"/>
          <w:szCs w:val="32"/>
        </w:rPr>
        <w:t>市</w:t>
      </w:r>
      <w:r>
        <w:rPr>
          <w:rFonts w:ascii="仿宋_GB2312"/>
          <w:sz w:val="32"/>
          <w:szCs w:val="32"/>
        </w:rPr>
        <w:t>级财政部门的预算股、资金管理股和绩效管理股之间的密切沟通和深度融合，真正形成预算绩效一体化管理体系。切实把握财政预算绩效管理的自身规律和本质属性，在明确预算和绩效、资金管理股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706D818C">
      <w:pPr>
        <w:pStyle w:val="3"/>
        <w:spacing w:line="600" w:lineRule="exact"/>
        <w:ind w:firstLine="640"/>
        <w:rPr>
          <w:szCs w:val="32"/>
        </w:rPr>
      </w:pPr>
      <w:r>
        <w:rPr>
          <w:rFonts w:hint="eastAsia"/>
          <w:szCs w:val="32"/>
        </w:rPr>
        <w:t>八、其他需要说明的问题</w:t>
      </w:r>
    </w:p>
    <w:p w14:paraId="7A53EF1E">
      <w:pPr>
        <w:pStyle w:val="21"/>
        <w:spacing w:line="600" w:lineRule="exact"/>
        <w:ind w:firstLine="624"/>
        <w:rPr>
          <w:rFonts w:ascii="仿宋_GB2312"/>
          <w:sz w:val="32"/>
          <w:szCs w:val="32"/>
        </w:rPr>
      </w:pPr>
      <w:r>
        <w:rPr>
          <w:rFonts w:hint="eastAsia"/>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CD2FD2E-D652-4973-BB97-4597186B06A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D509C457-6F78-482B-AB2F-5CE5513F3452}"/>
  </w:font>
  <w:font w:name="Arial">
    <w:panose1 w:val="020B0604020202020204"/>
    <w:charset w:val="00"/>
    <w:family w:val="swiss"/>
    <w:pitch w:val="default"/>
    <w:sig w:usb0="E0002AFF" w:usb1="C0007843" w:usb2="00000009" w:usb3="00000000" w:csb0="400001FF" w:csb1="FFFF0000"/>
    <w:embedRegular r:id="rId3" w:fontKey="{CDF8F493-50AF-4999-840F-C86382D1358F}"/>
  </w:font>
  <w:font w:name="楷体">
    <w:panose1 w:val="02010609060101010101"/>
    <w:charset w:val="86"/>
    <w:family w:val="modern"/>
    <w:pitch w:val="default"/>
    <w:sig w:usb0="800002BF" w:usb1="38CF7CFA" w:usb2="00000016" w:usb3="00000000" w:csb0="00040001" w:csb1="00000000"/>
  </w:font>
  <w:font w:name="Arial Black">
    <w:panose1 w:val="020B0A04020102020204"/>
    <w:charset w:val="00"/>
    <w:family w:val="auto"/>
    <w:pitch w:val="default"/>
    <w:sig w:usb0="00000287" w:usb1="00000000" w:usb2="00000000" w:usb3="00000000" w:csb0="2000009F" w:csb1="DFD70000"/>
  </w:font>
  <w:font w:name="方正小标宋简体">
    <w:altName w:val="仿宋_GB2312"/>
    <w:panose1 w:val="00000000000000000000"/>
    <w:charset w:val="86"/>
    <w:family w:val="script"/>
    <w:pitch w:val="default"/>
    <w:sig w:usb0="00000000" w:usb1="00000000" w:usb2="00000000" w:usb3="00000000" w:csb0="00040000" w:csb1="00000000"/>
    <w:embedRegular r:id="rId4" w:fontKey="{026EAD94-152B-4C11-9C99-57142A587A3C}"/>
  </w:font>
  <w:font w:name="楷体_GB2312">
    <w:panose1 w:val="02010609030101010101"/>
    <w:charset w:val="86"/>
    <w:family w:val="modern"/>
    <w:pitch w:val="default"/>
    <w:sig w:usb0="00000001" w:usb1="080E0000" w:usb2="00000000" w:usb3="00000000" w:csb0="00040000" w:csb1="00000000"/>
    <w:embedRegular r:id="rId5" w:fontKey="{011F1C87-F436-4789-90F5-3C99904E5CBE}"/>
  </w:font>
  <w:font w:name="方正小标宋_GBK">
    <w:panose1 w:val="03000509000000000000"/>
    <w:charset w:val="86"/>
    <w:family w:val="script"/>
    <w:pitch w:val="default"/>
    <w:sig w:usb0="00000001" w:usb1="080E0000" w:usb2="00000000" w:usb3="00000000" w:csb0="00040000" w:csb1="00000000"/>
    <w:embedRegular r:id="rId6" w:fontKey="{CAC69672-C7AE-40C5-BE7A-75F5D44F7CEC}"/>
  </w:font>
  <w:font w:name="微软雅黑">
    <w:panose1 w:val="020B0503020204020204"/>
    <w:charset w:val="86"/>
    <w:family w:val="swiss"/>
    <w:pitch w:val="default"/>
    <w:sig w:usb0="80000287" w:usb1="280F3C52" w:usb2="00000016" w:usb3="00000000" w:csb0="0004001F" w:csb1="00000000"/>
    <w:embedRegular r:id="rId7" w:fontKey="{8557E0D3-0F29-4DED-AB7A-EADF5E467178}"/>
  </w:font>
  <w:font w:name="仿宋">
    <w:panose1 w:val="02010609060101010101"/>
    <w:charset w:val="86"/>
    <w:family w:val="modern"/>
    <w:pitch w:val="default"/>
    <w:sig w:usb0="800002BF" w:usb1="38CF7CFA" w:usb2="00000016" w:usb3="00000000" w:csb0="00040001" w:csb1="00000000"/>
    <w:embedRegular r:id="rId8" w:fontKey="{5C719885-0141-4DAE-946D-974375B7BA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BDDEE">
    <w:pPr>
      <w:pStyle w:val="8"/>
      <w:tabs>
        <w:tab w:val="center" w:pos="4602"/>
        <w:tab w:val="clear" w:pos="4153"/>
        <w:tab w:val="clear" w:pos="8306"/>
      </w:tabs>
      <w:ind w:firstLine="360"/>
    </w:pPr>
    <w:r>
      <w:pict>
        <v:shape id="_x0000_s1026"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path/>
          <v:fill on="f" focussize="0,0"/>
          <v:stroke on="f" weight="0.5pt" joinstyle="miter"/>
          <v:imagedata o:title=""/>
          <o:lock v:ext="edit"/>
          <v:textbox inset="0mm,0mm,0mm,0mm" style="mso-fit-shape-to-text:t;">
            <w:txbxContent>
              <w:p w14:paraId="635AA1AA">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11</w:t>
                </w:r>
                <w:r>
                  <w:rPr>
                    <w:rFonts w:hint="eastAsia"/>
                    <w:sz w:val="24"/>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C84E6">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8B359">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46EA9">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F4A65">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AD5C1">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62348DC"/>
    <w:multiLevelType w:val="singleLevel"/>
    <w:tmpl w:val="162348DC"/>
    <w:lvl w:ilvl="0" w:tentative="0">
      <w:start w:val="2"/>
      <w:numFmt w:val="decimal"/>
      <w:lvlText w:val="%1."/>
      <w:lvlJc w:val="left"/>
      <w:pPr>
        <w:tabs>
          <w:tab w:val="left" w:pos="312"/>
        </w:tabs>
      </w:pPr>
    </w:lvl>
  </w:abstractNum>
  <w:abstractNum w:abstractNumId="5">
    <w:nsid w:val="1FFA6D59"/>
    <w:multiLevelType w:val="singleLevel"/>
    <w:tmpl w:val="1FFA6D59"/>
    <w:lvl w:ilvl="0" w:tentative="0">
      <w:start w:val="1"/>
      <w:numFmt w:val="chineseCounting"/>
      <w:suff w:val="nothing"/>
      <w:lvlText w:val="（%1）"/>
      <w:lvlJc w:val="left"/>
      <w:pPr>
        <w:ind w:left="289" w:firstLine="420"/>
      </w:pPr>
      <w:rPr>
        <w:rFonts w:hint="eastAsia"/>
      </w:rPr>
    </w:lvl>
  </w:abstractNum>
  <w:abstractNum w:abstractNumId="6">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66511E"/>
    <w:multiLevelType w:val="singleLevel"/>
    <w:tmpl w:val="4166511E"/>
    <w:lvl w:ilvl="0" w:tentative="0">
      <w:start w:val="1"/>
      <w:numFmt w:val="chineseCounting"/>
      <w:suff w:val="nothing"/>
      <w:lvlText w:val="（%1）"/>
      <w:lvlJc w:val="left"/>
      <w:rPr>
        <w:rFonts w:hint="eastAsia"/>
      </w:rPr>
    </w:lvl>
  </w:abstractNum>
  <w:num w:numId="1">
    <w:abstractNumId w:val="6"/>
  </w:num>
  <w:num w:numId="2">
    <w:abstractNumId w:val="0"/>
  </w:num>
  <w:num w:numId="3">
    <w:abstractNumId w:val="1"/>
  </w:num>
  <w:num w:numId="4">
    <w:abstractNumId w:val="5"/>
  </w:num>
  <w:num w:numId="5">
    <w:abstractNumId w:val="3"/>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NkZDdiNDMzMTc1NmIzZDY2YjgwMzEyYmM4OWQ3MTU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1075C"/>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EC24C2"/>
    <w:rsid w:val="00F010D3"/>
    <w:rsid w:val="00F25858"/>
    <w:rsid w:val="00F26424"/>
    <w:rsid w:val="00FA49B8"/>
    <w:rsid w:val="00FB24DF"/>
    <w:rsid w:val="00FC5DC5"/>
    <w:rsid w:val="011F6BB3"/>
    <w:rsid w:val="025E3A7A"/>
    <w:rsid w:val="12F1313F"/>
    <w:rsid w:val="1E676920"/>
    <w:rsid w:val="245E1E24"/>
    <w:rsid w:val="2E483E7E"/>
    <w:rsid w:val="2FC65CD3"/>
    <w:rsid w:val="2FF22A22"/>
    <w:rsid w:val="33944516"/>
    <w:rsid w:val="3D040BCD"/>
    <w:rsid w:val="3E2D1506"/>
    <w:rsid w:val="3FEB6364"/>
    <w:rsid w:val="49A75425"/>
    <w:rsid w:val="4FB6476D"/>
    <w:rsid w:val="581973B0"/>
    <w:rsid w:val="5D513014"/>
    <w:rsid w:val="5D7317A1"/>
    <w:rsid w:val="5E39391E"/>
    <w:rsid w:val="5EDF9208"/>
    <w:rsid w:val="5FAFB075"/>
    <w:rsid w:val="64EF7844"/>
    <w:rsid w:val="68291A1A"/>
    <w:rsid w:val="691B1594"/>
    <w:rsid w:val="6AE93DAF"/>
    <w:rsid w:val="6B8333B8"/>
    <w:rsid w:val="6F0D6C22"/>
    <w:rsid w:val="6FD35114"/>
    <w:rsid w:val="6FE70C15"/>
    <w:rsid w:val="6FF38B9B"/>
    <w:rsid w:val="70161521"/>
    <w:rsid w:val="70784420"/>
    <w:rsid w:val="73D9A77D"/>
    <w:rsid w:val="73F90A54"/>
    <w:rsid w:val="7657F55C"/>
    <w:rsid w:val="76CA1851"/>
    <w:rsid w:val="76D2301A"/>
    <w:rsid w:val="77861774"/>
    <w:rsid w:val="77978BBA"/>
    <w:rsid w:val="77FD56A3"/>
    <w:rsid w:val="786D3A99"/>
    <w:rsid w:val="79300B45"/>
    <w:rsid w:val="7979458D"/>
    <w:rsid w:val="7AFFA044"/>
    <w:rsid w:val="7C55A6FE"/>
    <w:rsid w:val="7C7F22A6"/>
    <w:rsid w:val="7DA73FC5"/>
    <w:rsid w:val="7EF7BC1E"/>
    <w:rsid w:val="7F7FAA4B"/>
    <w:rsid w:val="7FB975CF"/>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autoRedefine/>
    <w:qFormat/>
    <w:uiPriority w:val="0"/>
    <w:pPr>
      <w:keepNext/>
      <w:keepLines/>
      <w:ind w:firstLine="964"/>
      <w:outlineLvl w:val="0"/>
    </w:pPr>
    <w:rPr>
      <w:rFonts w:eastAsia="黑体"/>
      <w:kern w:val="44"/>
      <w:sz w:val="32"/>
      <w:szCs w:val="22"/>
    </w:rPr>
  </w:style>
  <w:style w:type="paragraph" w:styleId="4">
    <w:name w:val="heading 2"/>
    <w:basedOn w:val="1"/>
    <w:next w:val="1"/>
    <w:autoRedefine/>
    <w:unhideWhenUsed/>
    <w:qFormat/>
    <w:uiPriority w:val="0"/>
    <w:pPr>
      <w:keepNext/>
      <w:keepLines/>
      <w:ind w:firstLine="964"/>
      <w:outlineLvl w:val="1"/>
    </w:pPr>
    <w:rPr>
      <w:rFonts w:ascii="Arial" w:hAnsi="Arial" w:eastAsia="楷体"/>
      <w:b/>
      <w:sz w:val="32"/>
    </w:rPr>
  </w:style>
  <w:style w:type="paragraph" w:styleId="2">
    <w:name w:val="heading 3"/>
    <w:basedOn w:val="1"/>
    <w:next w:val="1"/>
    <w:autoRedefine/>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unhideWhenUsed/>
    <w:qFormat/>
    <w:uiPriority w:val="0"/>
    <w:pPr>
      <w:spacing w:before="240" w:after="240" w:line="360" w:lineRule="auto"/>
      <w:jc w:val="center"/>
    </w:pPr>
    <w:rPr>
      <w:b/>
      <w:sz w:val="44"/>
    </w:rPr>
  </w:style>
  <w:style w:type="paragraph" w:styleId="7">
    <w:name w:val="Balloon Text"/>
    <w:basedOn w:val="1"/>
    <w:link w:val="17"/>
    <w:autoRedefine/>
    <w:qFormat/>
    <w:uiPriority w:val="0"/>
    <w:pPr>
      <w:spacing w:line="240" w:lineRule="auto"/>
    </w:pPr>
    <w:rPr>
      <w:sz w:val="18"/>
      <w:szCs w:val="18"/>
    </w:rPr>
  </w:style>
  <w:style w:type="paragraph" w:styleId="8">
    <w:name w:val="footer"/>
    <w:basedOn w:val="1"/>
    <w:link w:val="20"/>
    <w:autoRedefine/>
    <w:qFormat/>
    <w:uiPriority w:val="99"/>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autoRedefine/>
    <w:semiHidden/>
    <w:unhideWhenUsed/>
    <w:qFormat/>
    <w:uiPriority w:val="0"/>
    <w:pPr>
      <w:spacing w:beforeAutospacing="1" w:afterAutospacing="1"/>
      <w:jc w:val="left"/>
    </w:pPr>
    <w:rPr>
      <w:kern w:val="0"/>
      <w:sz w:val="24"/>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autoRedefine/>
    <w:qFormat/>
    <w:uiPriority w:val="0"/>
    <w:rPr>
      <w:b/>
      <w:bCs/>
    </w:rPr>
  </w:style>
  <w:style w:type="character" w:styleId="15">
    <w:name w:val="annotation reference"/>
    <w:basedOn w:val="13"/>
    <w:autoRedefine/>
    <w:qFormat/>
    <w:uiPriority w:val="0"/>
    <w:rPr>
      <w:sz w:val="21"/>
      <w:szCs w:val="21"/>
    </w:rPr>
  </w:style>
  <w:style w:type="paragraph" w:customStyle="1" w:styleId="16">
    <w:name w:val="正文 A"/>
    <w:autoRedefine/>
    <w:qFormat/>
    <w:uiPriority w:val="99"/>
    <w:pPr>
      <w:widowControl w:val="0"/>
      <w:spacing w:before="50" w:after="50" w:line="360" w:lineRule="auto"/>
    </w:pPr>
    <w:rPr>
      <w:rFonts w:ascii="Times New Roman" w:hAnsi="Arial Black" w:eastAsia="Arial Black" w:cs="Arial Black"/>
      <w:color w:val="000000"/>
      <w:kern w:val="2"/>
      <w:sz w:val="28"/>
      <w:szCs w:val="28"/>
      <w:u w:color="000000"/>
      <w:lang w:val="en-US" w:eastAsia="zh-CN" w:bidi="ar-SA"/>
    </w:rPr>
  </w:style>
  <w:style w:type="character" w:customStyle="1" w:styleId="17">
    <w:name w:val="批注框文本 Char"/>
    <w:basedOn w:val="13"/>
    <w:link w:val="7"/>
    <w:autoRedefine/>
    <w:qFormat/>
    <w:uiPriority w:val="0"/>
    <w:rPr>
      <w:rFonts w:eastAsia="仿宋_GB2312"/>
      <w:kern w:val="2"/>
      <w:sz w:val="18"/>
      <w:szCs w:val="18"/>
    </w:rPr>
  </w:style>
  <w:style w:type="paragraph" w:customStyle="1" w:styleId="18">
    <w:name w:val="列表段落1"/>
    <w:basedOn w:val="1"/>
    <w:autoRedefine/>
    <w:unhideWhenUsed/>
    <w:qFormat/>
    <w:uiPriority w:val="99"/>
    <w:pPr>
      <w:ind w:firstLine="420"/>
    </w:pPr>
  </w:style>
  <w:style w:type="paragraph" w:customStyle="1" w:styleId="19">
    <w:name w:val="标题2"/>
    <w:basedOn w:val="4"/>
    <w:autoRedefine/>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autoRedefine/>
    <w:qFormat/>
    <w:uiPriority w:val="99"/>
    <w:rPr>
      <w:rFonts w:eastAsia="仿宋_GB2312"/>
      <w:kern w:val="2"/>
      <w:sz w:val="18"/>
      <w:szCs w:val="24"/>
    </w:rPr>
  </w:style>
  <w:style w:type="paragraph" w:customStyle="1" w:styleId="21">
    <w:name w:val="闻政-正文段落文字"/>
    <w:basedOn w:val="1"/>
    <w:link w:val="26"/>
    <w:autoRedefine/>
    <w:qFormat/>
    <w:uiPriority w:val="3"/>
    <w:pPr>
      <w:spacing w:line="500" w:lineRule="exact"/>
      <w:ind w:firstLine="200"/>
    </w:pPr>
    <w:rPr>
      <w:kern w:val="0"/>
      <w:szCs w:val="28"/>
    </w:rPr>
  </w:style>
  <w:style w:type="paragraph" w:customStyle="1" w:styleId="22">
    <w:name w:val="_Style 1"/>
    <w:basedOn w:val="1"/>
    <w:autoRedefine/>
    <w:qFormat/>
    <w:uiPriority w:val="34"/>
    <w:pPr>
      <w:ind w:firstLine="420"/>
    </w:pPr>
  </w:style>
  <w:style w:type="paragraph" w:customStyle="1" w:styleId="23">
    <w:name w:val="闻政-正文二级标题"/>
    <w:basedOn w:val="4"/>
    <w:next w:val="21"/>
    <w:autoRedefine/>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autoRedefine/>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autoRedefine/>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autoRedefine/>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7815</Words>
  <Characters>8196</Characters>
  <Lines>4</Lines>
  <Paragraphs>16</Paragraphs>
  <TotalTime>155</TotalTime>
  <ScaleCrop>false</ScaleCrop>
  <LinksUpToDate>false</LinksUpToDate>
  <CharactersWithSpaces>8207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快乐人生</cp:lastModifiedBy>
  <cp:lastPrinted>2021-03-04T11:49:00Z</cp:lastPrinted>
  <dcterms:modified xsi:type="dcterms:W3CDTF">2024-11-08T10:52:14Z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235B44973DA9A7007EC2D165511795CE_42</vt:lpwstr>
  </property>
</Properties>
</file>